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807" w:firstLineChars="500"/>
        <w:jc w:val="left"/>
        <w:rPr>
          <w:rFonts w:hint="eastAsia"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鑫广绿环双排座厢货采购</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hint="eastAsia" w:ascii="宋体" w:hAnsi="宋体" w:cs="Arial"/>
          <w:sz w:val="24"/>
          <w:szCs w:val="24"/>
        </w:rPr>
      </w:pPr>
      <w:r>
        <w:rPr>
          <w:rFonts w:hint="eastAsia" w:ascii="宋体" w:hAnsi="宋体" w:cs="Arial"/>
          <w:sz w:val="24"/>
          <w:szCs w:val="24"/>
        </w:rPr>
        <w:t>鑫广绿环再生资源股份有限公司现对鑫广绿环</w:t>
      </w:r>
      <w:r>
        <w:rPr>
          <w:rFonts w:hint="eastAsia" w:ascii="宋体" w:hAnsi="宋体" w:cs="Arial"/>
          <w:sz w:val="24"/>
          <w:szCs w:val="24"/>
          <w:lang w:val="en-US" w:eastAsia="zh-CN"/>
        </w:rPr>
        <w:t>双排座厢货</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 项目内容：鑫广绿环</w:t>
      </w:r>
      <w:r>
        <w:rPr>
          <w:rFonts w:hint="eastAsia" w:ascii="宋体" w:hAnsi="宋体" w:eastAsia="宋体" w:cs="宋体"/>
          <w:color w:val="000000"/>
          <w:kern w:val="0"/>
          <w:sz w:val="24"/>
          <w:szCs w:val="24"/>
          <w:lang w:val="en-US" w:eastAsia="zh-CN"/>
        </w:rPr>
        <w:t>双排座厢货</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02</w:t>
      </w:r>
      <w:r>
        <w:rPr>
          <w:rFonts w:hint="eastAsia" w:ascii="宋体" w:hAnsi="宋体" w:cs="Arial"/>
          <w:sz w:val="24"/>
          <w:szCs w:val="24"/>
        </w:rPr>
        <w:t>月</w:t>
      </w:r>
      <w:r>
        <w:rPr>
          <w:rFonts w:hint="eastAsia" w:ascii="宋体" w:hAnsi="宋体" w:cs="Arial"/>
          <w:sz w:val="24"/>
          <w:szCs w:val="24"/>
          <w:lang w:val="en-US" w:eastAsia="zh-CN"/>
        </w:rPr>
        <w:t>10</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02</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00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w:t>
      </w:r>
      <w:r>
        <w:rPr>
          <w:rFonts w:hint="eastAsia" w:ascii="宋体" w:hAnsi="宋体" w:cs="Arial"/>
          <w:sz w:val="24"/>
          <w:szCs w:val="24"/>
          <w:lang w:val="en-US" w:eastAsia="zh-CN"/>
        </w:rPr>
        <w:t>三楼审计办公室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rPr>
        <w:t>鑫广绿环</w:t>
      </w:r>
      <w:r>
        <w:rPr>
          <w:rFonts w:hint="eastAsia" w:ascii="宋体" w:hAnsi="宋体" w:cs="Arial"/>
          <w:sz w:val="24"/>
          <w:szCs w:val="24"/>
          <w:lang w:val="en-US" w:eastAsia="zh-CN"/>
        </w:rPr>
        <w:t>双排座厢货</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中标人依据要求交货并完成验收，周期自合同签订后1</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pStyle w:val="3"/>
        <w:jc w:val="both"/>
        <w:rPr>
          <w:rFonts w:hint="eastAsia" w:asciiTheme="minorHAnsi" w:hAnsiTheme="minorHAnsi" w:eastAsiaTheme="minor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10、</w:t>
      </w:r>
      <w:r>
        <w:rPr>
          <w:rFonts w:hint="eastAsia" w:asciiTheme="minorHAnsi" w:hAnsiTheme="minorHAnsi" w:eastAsiaTheme="minorEastAsia" w:cstheme="minorBidi"/>
          <w:b w:val="0"/>
          <w:bCs w:val="0"/>
          <w:kern w:val="2"/>
          <w:sz w:val="28"/>
          <w:szCs w:val="28"/>
          <w:lang w:val="en-US" w:eastAsia="zh-CN" w:bidi="ar-SA"/>
        </w:rPr>
        <w:t>厢式货车新车配置要求</w:t>
      </w:r>
    </w:p>
    <w:p>
      <w:pPr>
        <w:pStyle w:val="14"/>
        <w:numPr>
          <w:ilvl w:val="0"/>
          <w:numId w:val="1"/>
        </w:numPr>
        <w:tabs>
          <w:tab w:val="left" w:pos="609"/>
        </w:tabs>
        <w:ind w:firstLineChars="0"/>
        <w:rPr>
          <w:sz w:val="28"/>
          <w:szCs w:val="28"/>
        </w:rPr>
      </w:pPr>
      <w:r>
        <w:rPr>
          <w:rFonts w:hint="eastAsia"/>
          <w:sz w:val="28"/>
          <w:szCs w:val="28"/>
        </w:rPr>
        <w:t>蓝牌封闭厢式货车（不是飞翼那种）。</w:t>
      </w:r>
    </w:p>
    <w:p>
      <w:pPr>
        <w:pStyle w:val="14"/>
        <w:numPr>
          <w:ilvl w:val="0"/>
          <w:numId w:val="1"/>
        </w:numPr>
        <w:ind w:firstLineChars="0"/>
        <w:rPr>
          <w:sz w:val="28"/>
          <w:szCs w:val="28"/>
        </w:rPr>
      </w:pPr>
      <w:r>
        <w:rPr>
          <w:rFonts w:hint="eastAsia"/>
          <w:sz w:val="28"/>
          <w:szCs w:val="28"/>
        </w:rPr>
        <w:t>双排柴油国六标准（五人座标准）。</w:t>
      </w:r>
    </w:p>
    <w:p>
      <w:pPr>
        <w:pStyle w:val="14"/>
        <w:numPr>
          <w:ilvl w:val="0"/>
          <w:numId w:val="1"/>
        </w:numPr>
        <w:ind w:firstLineChars="0"/>
        <w:rPr>
          <w:sz w:val="28"/>
          <w:szCs w:val="28"/>
        </w:rPr>
      </w:pPr>
      <w:r>
        <w:rPr>
          <w:sz w:val="28"/>
          <w:szCs w:val="28"/>
        </w:rPr>
        <w:t>输出功率：</w:t>
      </w:r>
      <w:r>
        <w:rPr>
          <w:rFonts w:hint="eastAsia"/>
          <w:sz w:val="28"/>
          <w:szCs w:val="28"/>
        </w:rPr>
        <w:t>100</w:t>
      </w:r>
      <w:r>
        <w:rPr>
          <w:sz w:val="28"/>
          <w:szCs w:val="28"/>
        </w:rPr>
        <w:t>kw</w:t>
      </w:r>
      <w:r>
        <w:rPr>
          <w:rFonts w:hint="eastAsia"/>
          <w:sz w:val="28"/>
          <w:szCs w:val="28"/>
        </w:rPr>
        <w:t>以上；马力要130马力</w:t>
      </w:r>
      <w:r>
        <w:rPr>
          <w:rFonts w:hint="eastAsia"/>
          <w:sz w:val="28"/>
          <w:szCs w:val="28"/>
          <w:lang w:val="en-US" w:eastAsia="zh-CN"/>
        </w:rPr>
        <w:t>左右</w:t>
      </w:r>
      <w:r>
        <w:rPr>
          <w:rFonts w:hint="eastAsia"/>
          <w:sz w:val="28"/>
          <w:szCs w:val="28"/>
        </w:rPr>
        <w:t>。</w:t>
      </w:r>
    </w:p>
    <w:p>
      <w:pPr>
        <w:pStyle w:val="14"/>
        <w:numPr>
          <w:ilvl w:val="0"/>
          <w:numId w:val="1"/>
        </w:numPr>
        <w:ind w:firstLineChars="0"/>
        <w:rPr>
          <w:sz w:val="28"/>
          <w:szCs w:val="28"/>
        </w:rPr>
      </w:pPr>
      <w:r>
        <w:rPr>
          <w:rFonts w:hint="eastAsia"/>
          <w:sz w:val="28"/>
          <w:szCs w:val="28"/>
        </w:rPr>
        <w:t>车厢高度2米左右，车厢宽度2米左右</w:t>
      </w:r>
    </w:p>
    <w:p>
      <w:pPr>
        <w:pStyle w:val="14"/>
        <w:numPr>
          <w:ilvl w:val="0"/>
          <w:numId w:val="1"/>
        </w:numPr>
        <w:ind w:firstLineChars="0"/>
        <w:rPr>
          <w:sz w:val="28"/>
          <w:szCs w:val="28"/>
        </w:rPr>
      </w:pPr>
      <w:r>
        <w:rPr>
          <w:rFonts w:hint="eastAsia"/>
          <w:sz w:val="28"/>
          <w:szCs w:val="28"/>
        </w:rPr>
        <w:t>外观颜色：白色。</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pStyle w:val="2"/>
        <w:rPr>
          <w:rFonts w:hint="eastAsia" w:ascii="宋体" w:hAnsi="宋体" w:cs="Arial"/>
          <w:b/>
          <w:sz w:val="24"/>
          <w:szCs w:val="24"/>
        </w:rPr>
      </w:pPr>
    </w:p>
    <w:p>
      <w:pPr>
        <w:pStyle w:val="2"/>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hint="eastAsia" w:ascii="宋体" w:hAnsi="宋体" w:cs="Arial"/>
          <w:b/>
          <w:sz w:val="24"/>
          <w:szCs w:val="24"/>
        </w:rPr>
      </w:pPr>
    </w:p>
    <w:p>
      <w:pPr>
        <w:widowControl/>
        <w:shd w:val="clear" w:color="auto" w:fill="FFFFFF"/>
        <w:spacing w:before="156" w:line="228" w:lineRule="atLeast"/>
        <w:ind w:firstLine="118"/>
        <w:rPr>
          <w:rFonts w:ascii="宋体" w:hAnsi="宋体" w:cs="Arial"/>
          <w:b/>
          <w:sz w:val="24"/>
          <w:szCs w:val="24"/>
        </w:rPr>
      </w:pPr>
      <w:r>
        <w:rPr>
          <w:rFonts w:hint="eastAsia" w:ascii="宋体" w:hAnsi="宋体" w:cs="Arial"/>
          <w:b/>
          <w:sz w:val="24"/>
          <w:szCs w:val="24"/>
        </w:rPr>
        <w:t>项目名称：</w:t>
      </w:r>
      <w:r>
        <w:rPr>
          <w:rFonts w:hint="eastAsia" w:ascii="微软雅黑" w:hAnsi="微软雅黑" w:eastAsia="微软雅黑" w:cs="微软雅黑"/>
          <w:b w:val="0"/>
          <w:bCs w:val="0"/>
          <w:i w:val="0"/>
          <w:iCs w:val="0"/>
          <w:caps w:val="0"/>
          <w:color w:val="000000"/>
          <w:spacing w:val="0"/>
          <w:sz w:val="24"/>
          <w:szCs w:val="24"/>
        </w:rPr>
        <w:t>鑫广绿环</w:t>
      </w:r>
      <w:r>
        <w:rPr>
          <w:rFonts w:hint="eastAsia" w:ascii="微软雅黑" w:hAnsi="微软雅黑" w:eastAsia="微软雅黑" w:cs="微软雅黑"/>
          <w:b w:val="0"/>
          <w:bCs w:val="0"/>
          <w:i w:val="0"/>
          <w:iCs w:val="0"/>
          <w:caps w:val="0"/>
          <w:color w:val="000000"/>
          <w:spacing w:val="0"/>
          <w:sz w:val="24"/>
          <w:szCs w:val="24"/>
          <w:lang w:val="en-US" w:eastAsia="zh-CN"/>
        </w:rPr>
        <w:t>双排座厢货</w:t>
      </w:r>
    </w:p>
    <w:p>
      <w:pPr>
        <w:widowControl/>
        <w:shd w:val="clear" w:color="auto" w:fill="FFFFFF"/>
        <w:spacing w:after="120" w:line="362" w:lineRule="atLeast"/>
        <w:ind w:firstLine="2891" w:firstLineChars="900"/>
        <w:jc w:val="left"/>
        <w:rPr>
          <w:rFonts w:ascii="宋体" w:hAnsi="宋体" w:cs="Arial"/>
          <w:b/>
          <w:sz w:val="24"/>
          <w:szCs w:val="24"/>
        </w:rPr>
      </w:pPr>
      <w:r>
        <w:rPr>
          <w:rFonts w:hint="eastAsia" w:ascii="宋体" w:hAnsi="宋体" w:cs="宋体"/>
          <w:b/>
          <w:bCs/>
          <w:color w:val="000000"/>
          <w:kern w:val="0"/>
          <w:sz w:val="32"/>
          <w:szCs w:val="32"/>
        </w:rPr>
        <w:t>开标一览表</w:t>
      </w:r>
    </w:p>
    <w:tbl>
      <w:tblPr>
        <w:tblStyle w:val="6"/>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721"/>
        <w:gridCol w:w="2425"/>
        <w:gridCol w:w="813"/>
        <w:gridCol w:w="775"/>
        <w:gridCol w:w="1113"/>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总报价</w:t>
            </w:r>
            <w:r>
              <w:rPr>
                <w:rFonts w:hint="eastAsia" w:cs="宋体" w:asciiTheme="minorEastAsia" w:hAnsiTheme="minorEastAsia"/>
                <w:b/>
                <w:color w:val="000000"/>
                <w:kern w:val="0"/>
                <w:sz w:val="24"/>
                <w:szCs w:val="24"/>
                <w:lang w:val="en-US" w:eastAsia="zh-CN"/>
              </w:rPr>
              <w:t xml:space="preserve">                                                 </w:t>
            </w:r>
            <w:r>
              <w:rPr>
                <w:rFonts w:hint="eastAsia" w:cs="宋体" w:asciiTheme="minorEastAsia" w:hAnsiTheme="minorEastAsia" w:eastAsiaTheme="minorEastAsia"/>
                <w:color w:val="000000"/>
                <w:kern w:val="0"/>
                <w:sz w:val="24"/>
                <w:szCs w:val="24"/>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87" w:hRule="atLeast"/>
        </w:trPr>
        <w:tc>
          <w:tcPr>
            <w:tcW w:w="1721"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bCs w:val="0"/>
                <w:color w:val="000000"/>
                <w:kern w:val="0"/>
                <w:sz w:val="24"/>
                <w:szCs w:val="24"/>
                <w:lang w:val="en-US" w:eastAsia="zh-CN"/>
              </w:rPr>
            </w:pPr>
            <w:r>
              <w:rPr>
                <w:rFonts w:hint="eastAsia" w:cs="宋体" w:asciiTheme="minorEastAsia" w:hAnsiTheme="minorEastAsia"/>
                <w:b/>
                <w:bCs w:val="0"/>
                <w:color w:val="000000"/>
                <w:kern w:val="0"/>
                <w:sz w:val="24"/>
                <w:szCs w:val="24"/>
                <w:lang w:val="en-US" w:eastAsia="zh-CN"/>
              </w:rPr>
              <w:t>名称</w:t>
            </w:r>
          </w:p>
        </w:tc>
        <w:tc>
          <w:tcPr>
            <w:tcW w:w="2425"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bCs w:val="0"/>
                <w:color w:val="000000"/>
                <w:kern w:val="0"/>
                <w:sz w:val="24"/>
                <w:szCs w:val="24"/>
                <w:lang w:eastAsia="zh-CN"/>
              </w:rPr>
            </w:pPr>
            <w:r>
              <w:rPr>
                <w:rFonts w:hint="eastAsia" w:cs="宋体" w:asciiTheme="minorEastAsia" w:hAnsiTheme="minorEastAsia"/>
                <w:b/>
                <w:bCs w:val="0"/>
                <w:color w:val="000000"/>
                <w:kern w:val="0"/>
                <w:sz w:val="24"/>
                <w:szCs w:val="24"/>
                <w:lang w:val="en-US" w:eastAsia="zh-CN"/>
              </w:rPr>
              <w:t>规格型号</w:t>
            </w:r>
          </w:p>
        </w:tc>
        <w:tc>
          <w:tcPr>
            <w:tcW w:w="813"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bCs w:val="0"/>
                <w:color w:val="000000"/>
                <w:kern w:val="0"/>
                <w:sz w:val="24"/>
                <w:szCs w:val="24"/>
                <w:lang w:val="en-US" w:eastAsia="zh-CN"/>
              </w:rPr>
            </w:pPr>
            <w:r>
              <w:rPr>
                <w:rFonts w:hint="eastAsia" w:cs="宋体" w:asciiTheme="minorEastAsia" w:hAnsiTheme="minorEastAsia"/>
                <w:b/>
                <w:bCs w:val="0"/>
                <w:color w:val="000000"/>
                <w:kern w:val="0"/>
                <w:sz w:val="24"/>
                <w:szCs w:val="24"/>
                <w:lang w:val="en-US" w:eastAsia="zh-CN"/>
              </w:rPr>
              <w:t>单位</w:t>
            </w:r>
          </w:p>
        </w:tc>
        <w:tc>
          <w:tcPr>
            <w:tcW w:w="775"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b/>
                <w:bCs w:val="0"/>
                <w:color w:val="000000"/>
                <w:kern w:val="0"/>
                <w:sz w:val="24"/>
                <w:szCs w:val="24"/>
                <w:lang w:val="en-US" w:eastAsia="zh-CN"/>
              </w:rPr>
            </w:pPr>
            <w:r>
              <w:rPr>
                <w:rFonts w:hint="eastAsia" w:cs="宋体" w:asciiTheme="minorEastAsia" w:hAnsiTheme="minorEastAsia"/>
                <w:b/>
                <w:bCs w:val="0"/>
                <w:color w:val="000000"/>
                <w:kern w:val="0"/>
                <w:sz w:val="24"/>
                <w:szCs w:val="24"/>
                <w:lang w:val="en-US" w:eastAsia="zh-CN"/>
              </w:rPr>
              <w:t>数量</w:t>
            </w:r>
          </w:p>
        </w:tc>
        <w:tc>
          <w:tcPr>
            <w:tcW w:w="1113"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b/>
                <w:bCs w:val="0"/>
                <w:color w:val="000000"/>
                <w:kern w:val="0"/>
                <w:sz w:val="24"/>
                <w:szCs w:val="24"/>
                <w:lang w:val="en-US" w:eastAsia="zh-CN"/>
              </w:rPr>
            </w:pPr>
            <w:r>
              <w:rPr>
                <w:rFonts w:hint="eastAsia" w:cs="宋体" w:asciiTheme="minorEastAsia" w:hAnsiTheme="minorEastAsia"/>
                <w:b/>
                <w:bCs w:val="0"/>
                <w:color w:val="000000"/>
                <w:kern w:val="0"/>
                <w:sz w:val="24"/>
                <w:szCs w:val="24"/>
                <w:lang w:val="en-US" w:eastAsia="zh-CN"/>
              </w:rPr>
              <w:t>单价RMB</w:t>
            </w:r>
          </w:p>
        </w:tc>
        <w:tc>
          <w:tcPr>
            <w:tcW w:w="2162"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b/>
                <w:bCs w:val="0"/>
                <w:color w:val="000000"/>
                <w:kern w:val="0"/>
                <w:sz w:val="24"/>
                <w:szCs w:val="24"/>
                <w:lang w:val="en-US" w:eastAsia="zh-CN"/>
              </w:rPr>
            </w:pPr>
            <w:r>
              <w:rPr>
                <w:rFonts w:hint="eastAsia" w:cs="宋体" w:asciiTheme="minorEastAsia" w:hAnsiTheme="minorEastAsia"/>
                <w:b/>
                <w:bCs w:val="0"/>
                <w:color w:val="000000"/>
                <w:kern w:val="0"/>
                <w:sz w:val="24"/>
                <w:szCs w:val="24"/>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721" w:type="dxa"/>
            <w:shd w:val="clear" w:color="auto" w:fill="FFFFFF"/>
            <w:tcMar>
              <w:top w:w="0" w:type="dxa"/>
              <w:left w:w="108" w:type="dxa"/>
              <w:bottom w:w="0" w:type="dxa"/>
              <w:right w:w="108" w:type="dxa"/>
            </w:tcMar>
            <w:vAlign w:val="center"/>
          </w:tcPr>
          <w:p>
            <w:pPr>
              <w:numPr>
                <w:ilvl w:val="0"/>
                <w:numId w:val="0"/>
              </w:numPr>
              <w:tabs>
                <w:tab w:val="center" w:pos="750"/>
                <w:tab w:val="right" w:pos="1382"/>
              </w:tabs>
              <w:spacing w:line="360" w:lineRule="auto"/>
              <w:jc w:val="left"/>
              <w:rPr>
                <w:rFonts w:cs="宋体" w:asciiTheme="minorEastAsia" w:hAnsiTheme="minorEastAsia" w:eastAsiaTheme="minorEastAsia"/>
                <w:color w:val="000000"/>
                <w:kern w:val="0"/>
                <w:sz w:val="24"/>
                <w:szCs w:val="24"/>
              </w:rPr>
            </w:pPr>
            <w:r>
              <w:rPr>
                <w:rFonts w:hint="eastAsia" w:ascii="宋体" w:hAnsi="宋体" w:eastAsia="宋体" w:cs="宋体"/>
                <w:b/>
                <w:bCs/>
                <w:sz w:val="24"/>
                <w:szCs w:val="24"/>
                <w:vertAlign w:val="baseline"/>
                <w:lang w:val="en-US" w:eastAsia="zh-CN"/>
              </w:rPr>
              <w:tab/>
            </w:r>
          </w:p>
        </w:tc>
        <w:tc>
          <w:tcPr>
            <w:tcW w:w="2425"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813"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000000"/>
                <w:kern w:val="0"/>
                <w:sz w:val="24"/>
                <w:szCs w:val="24"/>
                <w:lang w:val="en-US" w:eastAsia="zh-CN"/>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721" w:type="dxa"/>
            <w:shd w:val="clear" w:color="auto" w:fill="FFFFFF"/>
            <w:tcMar>
              <w:top w:w="0" w:type="dxa"/>
              <w:left w:w="108" w:type="dxa"/>
              <w:bottom w:w="0" w:type="dxa"/>
              <w:right w:w="108" w:type="dxa"/>
            </w:tcMar>
            <w:vAlign w:val="center"/>
          </w:tcPr>
          <w:p>
            <w:pPr>
              <w:numPr>
                <w:ilvl w:val="0"/>
                <w:numId w:val="0"/>
              </w:numPr>
              <w:tabs>
                <w:tab w:val="center" w:pos="750"/>
                <w:tab w:val="right" w:pos="1382"/>
              </w:tabs>
              <w:spacing w:line="360" w:lineRule="auto"/>
              <w:jc w:val="left"/>
              <w:rPr>
                <w:rFonts w:hint="eastAsia" w:ascii="宋体" w:hAnsi="宋体" w:eastAsia="宋体" w:cs="宋体"/>
                <w:b/>
                <w:bCs/>
                <w:sz w:val="24"/>
                <w:szCs w:val="24"/>
                <w:vertAlign w:val="baseline"/>
                <w:lang w:val="en-US" w:eastAsia="zh-CN"/>
              </w:rPr>
            </w:pPr>
          </w:p>
        </w:tc>
        <w:tc>
          <w:tcPr>
            <w:tcW w:w="2425"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8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1721" w:type="dxa"/>
            <w:shd w:val="clear" w:color="auto" w:fill="FFFFFF"/>
            <w:tcMar>
              <w:top w:w="0" w:type="dxa"/>
              <w:left w:w="108" w:type="dxa"/>
              <w:bottom w:w="0" w:type="dxa"/>
              <w:right w:w="108" w:type="dxa"/>
            </w:tcMar>
            <w:vAlign w:val="center"/>
          </w:tcPr>
          <w:p>
            <w:pPr>
              <w:numPr>
                <w:ilvl w:val="0"/>
                <w:numId w:val="0"/>
              </w:numPr>
              <w:tabs>
                <w:tab w:val="center" w:pos="750"/>
                <w:tab w:val="right" w:pos="1382"/>
              </w:tabs>
              <w:spacing w:line="360" w:lineRule="auto"/>
              <w:jc w:val="left"/>
              <w:rPr>
                <w:rFonts w:hint="eastAsia" w:ascii="宋体" w:hAnsi="宋体" w:eastAsia="宋体" w:cs="宋体"/>
                <w:b/>
                <w:bCs/>
                <w:sz w:val="24"/>
                <w:szCs w:val="24"/>
                <w:vertAlign w:val="baseline"/>
                <w:lang w:val="en-US" w:eastAsia="zh-CN"/>
              </w:rPr>
            </w:pPr>
          </w:p>
        </w:tc>
        <w:tc>
          <w:tcPr>
            <w:tcW w:w="2425"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8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775"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1113"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c>
          <w:tcPr>
            <w:tcW w:w="2162"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9009" w:type="dxa"/>
            <w:gridSpan w:val="6"/>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eastAsiaTheme="minorEastAsia"/>
                <w:b/>
                <w:bCs/>
                <w:color w:val="FF0000"/>
                <w:kern w:val="0"/>
                <w:sz w:val="24"/>
                <w:szCs w:val="24"/>
                <w:lang w:val="en-US" w:eastAsia="zh-CN" w:bidi="ar-SA"/>
              </w:rPr>
            </w:pPr>
            <w:r>
              <w:rPr>
                <w:rFonts w:hint="eastAsia" w:cs="宋体" w:asciiTheme="minorEastAsia" w:hAnsiTheme="minorEastAsia" w:eastAsiaTheme="minorEastAsia"/>
                <w:b/>
                <w:bCs/>
                <w:color w:val="FF0000"/>
                <w:kern w:val="0"/>
                <w:sz w:val="24"/>
                <w:szCs w:val="24"/>
                <w:lang w:val="en-US" w:eastAsia="zh-CN" w:bidi="ar-SA"/>
              </w:rPr>
              <w:t>车辆要求：白色、马力120—130、双排座蓝牌、</w:t>
            </w:r>
            <w:r>
              <w:rPr>
                <w:rFonts w:hint="eastAsia" w:cs="宋体" w:asciiTheme="minorEastAsia" w:hAnsiTheme="minorEastAsia"/>
                <w:b/>
                <w:bCs/>
                <w:color w:val="FF0000"/>
                <w:kern w:val="0"/>
                <w:sz w:val="24"/>
                <w:szCs w:val="24"/>
                <w:lang w:val="en-US" w:eastAsia="zh-CN" w:bidi="ar-SA"/>
              </w:rPr>
              <w:t>国六柴油</w:t>
            </w:r>
            <w:r>
              <w:rPr>
                <w:rFonts w:hint="eastAsia" w:cs="宋体" w:asciiTheme="minorEastAsia" w:hAnsiTheme="minorEastAsia" w:eastAsiaTheme="minorEastAsia"/>
                <w:b/>
                <w:bCs/>
                <w:color w:val="FF0000"/>
                <w:kern w:val="0"/>
                <w:sz w:val="24"/>
                <w:szCs w:val="24"/>
                <w:lang w:val="en-US" w:eastAsia="zh-CN" w:bidi="ar-SA"/>
              </w:rPr>
              <w:t>发动机。</w:t>
            </w:r>
            <w:bookmarkStart w:id="1" w:name="_GoBack"/>
            <w:bookmarkEnd w:id="1"/>
          </w:p>
          <w:p>
            <w:pPr>
              <w:pStyle w:val="2"/>
              <w:rPr>
                <w:rFonts w:hint="eastAsia"/>
                <w:lang w:val="en-US" w:eastAsia="zh-CN"/>
              </w:rPr>
            </w:pPr>
            <w:r>
              <w:rPr>
                <w:rFonts w:hint="eastAsia" w:cs="宋体" w:asciiTheme="minorEastAsia" w:hAnsiTheme="minorEastAsia"/>
                <w:b/>
                <w:bCs/>
                <w:color w:val="FF0000"/>
                <w:kern w:val="0"/>
                <w:sz w:val="24"/>
                <w:szCs w:val="24"/>
                <w:lang w:val="en-US" w:eastAsia="zh-CN"/>
              </w:rPr>
              <w:t>满足车辆要求可多种型号报价，备注清楚</w:t>
            </w:r>
            <w:r>
              <w:rPr>
                <w:rFonts w:hint="eastAsia" w:cs="宋体" w:asciiTheme="minorEastAsia" w:hAnsiTheme="minorEastAsia"/>
                <w:b/>
                <w:bCs/>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b/>
                <w:color w:val="000000"/>
                <w:kern w:val="0"/>
                <w:sz w:val="24"/>
                <w:szCs w:val="24"/>
                <w:lang w:val="en-US" w:eastAsia="zh-CN"/>
              </w:rPr>
              <w:t>供货</w:t>
            </w:r>
            <w:r>
              <w:rPr>
                <w:rFonts w:hint="eastAsia" w:cs="宋体" w:asciiTheme="minorEastAsia" w:hAnsiTheme="minorEastAsia" w:eastAsiaTheme="minorEastAsia"/>
                <w:b/>
                <w:color w:val="000000"/>
                <w:kern w:val="0"/>
                <w:sz w:val="24"/>
                <w:szCs w:val="24"/>
              </w:rPr>
              <w:t>期</w:t>
            </w:r>
            <w:r>
              <w:rPr>
                <w:rFonts w:hint="eastAsia" w:cs="宋体" w:asciiTheme="minorEastAsia" w:hAnsiTheme="minorEastAsia"/>
                <w:b/>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974" w:hRule="atLeast"/>
        </w:trPr>
        <w:tc>
          <w:tcPr>
            <w:tcW w:w="1721"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000000"/>
                <w:kern w:val="0"/>
                <w:sz w:val="24"/>
                <w:szCs w:val="24"/>
              </w:rPr>
            </w:pPr>
            <w:r>
              <w:rPr>
                <w:rFonts w:hint="eastAsia" w:cs="宋体" w:asciiTheme="minorEastAsia" w:hAnsiTheme="minorEastAsia" w:eastAsiaTheme="minorEastAsia"/>
                <w:b/>
                <w:color w:val="000000"/>
                <w:kern w:val="0"/>
                <w:sz w:val="24"/>
                <w:szCs w:val="24"/>
              </w:rPr>
              <w:t>其他要求</w:t>
            </w:r>
          </w:p>
        </w:tc>
        <w:tc>
          <w:tcPr>
            <w:tcW w:w="7288" w:type="dxa"/>
            <w:gridSpan w:val="5"/>
            <w:shd w:val="clear" w:color="auto" w:fill="FFFFFF"/>
            <w:tcMar>
              <w:top w:w="0" w:type="dxa"/>
              <w:left w:w="108" w:type="dxa"/>
              <w:bottom w:w="0" w:type="dxa"/>
              <w:right w:w="108" w:type="dxa"/>
            </w:tcMar>
            <w:vAlign w:val="center"/>
          </w:tcPr>
          <w:p>
            <w:pPr>
              <w:widowControl/>
              <w:jc w:val="lef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1、此报价包含13%税点，如其他情况注明。</w:t>
            </w:r>
          </w:p>
          <w:p>
            <w:pPr>
              <w:widowControl/>
              <w:shd w:val="clear" w:color="auto" w:fill="FFFFFF"/>
              <w:spacing w:after="120" w:line="362" w:lineRule="atLeast"/>
              <w:rPr>
                <w:rFonts w:cs="宋体" w:asciiTheme="majorEastAsia" w:hAnsiTheme="majorEastAsia" w:eastAsiaTheme="majorEastAsia"/>
                <w:color w:val="FF0000"/>
                <w:kern w:val="0"/>
                <w:sz w:val="24"/>
                <w:szCs w:val="24"/>
              </w:rPr>
            </w:pPr>
            <w:r>
              <w:rPr>
                <w:rFonts w:hint="eastAsia" w:cs="宋体" w:asciiTheme="majorEastAsia" w:hAnsiTheme="majorEastAsia" w:eastAsiaTheme="majorEastAsia"/>
                <w:bCs/>
                <w:color w:val="FF0000"/>
                <w:kern w:val="0"/>
                <w:sz w:val="24"/>
                <w:szCs w:val="24"/>
              </w:rPr>
              <w:t>2、本页必须加盖公章。</w:t>
            </w:r>
          </w:p>
          <w:p>
            <w:pPr>
              <w:widowControl/>
              <w:shd w:val="clear" w:color="auto" w:fill="FFFFFF"/>
              <w:spacing w:after="120" w:line="362" w:lineRule="atLeast"/>
              <w:rPr>
                <w:rFonts w:hint="eastAsia" w:cs="宋体" w:asciiTheme="majorEastAsia" w:hAnsiTheme="majorEastAsia" w:eastAsiaTheme="majorEastAsia"/>
                <w:color w:val="FF0000"/>
                <w:kern w:val="0"/>
                <w:sz w:val="24"/>
                <w:szCs w:val="24"/>
              </w:rPr>
            </w:pPr>
            <w:r>
              <w:rPr>
                <w:rFonts w:hint="eastAsia" w:cs="宋体" w:asciiTheme="majorEastAsia" w:hAnsiTheme="majorEastAsia" w:eastAsiaTheme="majorEastAsia"/>
                <w:color w:val="FF0000"/>
                <w:kern w:val="0"/>
                <w:sz w:val="24"/>
                <w:szCs w:val="24"/>
              </w:rPr>
              <w:t>3、此报价包含增值税发票和运费等。</w:t>
            </w:r>
          </w:p>
          <w:p>
            <w:pPr>
              <w:widowControl/>
              <w:shd w:val="clear" w:color="auto" w:fill="FFFFFF"/>
              <w:spacing w:after="120" w:line="362" w:lineRule="atLeast"/>
              <w:rPr>
                <w:rFonts w:hint="eastAsia" w:cs="宋体" w:asciiTheme="minorEastAsia" w:hAnsiTheme="minorEastAsia"/>
                <w:b/>
                <w:color w:val="FF0000"/>
                <w:kern w:val="0"/>
                <w:sz w:val="24"/>
                <w:szCs w:val="24"/>
                <w:lang w:val="en-US" w:eastAsia="zh-CN"/>
              </w:rPr>
            </w:pPr>
            <w:r>
              <w:rPr>
                <w:rFonts w:hint="eastAsia" w:cs="宋体" w:asciiTheme="majorEastAsia" w:hAnsiTheme="majorEastAsia" w:eastAsiaTheme="majorEastAsia"/>
                <w:color w:val="FF0000"/>
                <w:kern w:val="0"/>
                <w:sz w:val="24"/>
                <w:szCs w:val="24"/>
                <w:lang w:val="en-US" w:eastAsia="zh-CN"/>
              </w:rPr>
              <w:t>4</w:t>
            </w:r>
            <w:r>
              <w:rPr>
                <w:rFonts w:hint="eastAsia" w:cs="宋体" w:asciiTheme="majorEastAsia" w:hAnsiTheme="majorEastAsia" w:eastAsiaTheme="majorEastAsia"/>
                <w:color w:val="FF0000"/>
                <w:kern w:val="0"/>
                <w:sz w:val="24"/>
                <w:szCs w:val="24"/>
              </w:rPr>
              <w:t>、请随标书提供营业执照</w:t>
            </w:r>
          </w:p>
        </w:tc>
      </w:tr>
    </w:tbl>
    <w:p>
      <w:pPr>
        <w:rPr>
          <w:sz w:val="24"/>
          <w:szCs w:val="24"/>
        </w:rPr>
      </w:pPr>
    </w:p>
    <w:p>
      <w:pPr>
        <w:widowControl/>
        <w:shd w:val="clear" w:color="auto" w:fill="FFFFFF"/>
        <w:spacing w:after="120" w:line="362" w:lineRule="atLeast"/>
        <w:rPr>
          <w:rFonts w:ascii="宋体" w:hAnsi="宋体" w:cs="宋体"/>
          <w:b/>
          <w:bCs/>
          <w:color w:val="FF0000"/>
          <w:kern w:val="0"/>
          <w:sz w:val="20"/>
          <w:szCs w:val="20"/>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bookmarkStart w:id="0" w:name="RANGE!A42"/>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94128"/>
    <w:multiLevelType w:val="multilevel"/>
    <w:tmpl w:val="3C294128"/>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DFlNjNiNGY1MmI5MmMzNzIzZDZhOTI0NzJjNWIifQ=="/>
  </w:docVars>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180708E"/>
    <w:rsid w:val="05A33A7C"/>
    <w:rsid w:val="07B47785"/>
    <w:rsid w:val="086A7661"/>
    <w:rsid w:val="091E2B67"/>
    <w:rsid w:val="0BB27ECE"/>
    <w:rsid w:val="111454CC"/>
    <w:rsid w:val="11532E91"/>
    <w:rsid w:val="11BF695B"/>
    <w:rsid w:val="13A40A8D"/>
    <w:rsid w:val="15D408DC"/>
    <w:rsid w:val="16537EF7"/>
    <w:rsid w:val="17F83F41"/>
    <w:rsid w:val="17FC50C6"/>
    <w:rsid w:val="1C775586"/>
    <w:rsid w:val="23D42313"/>
    <w:rsid w:val="24FD1647"/>
    <w:rsid w:val="298239F7"/>
    <w:rsid w:val="2B9E44AF"/>
    <w:rsid w:val="2D850B71"/>
    <w:rsid w:val="2EB20720"/>
    <w:rsid w:val="2F53767E"/>
    <w:rsid w:val="3034775C"/>
    <w:rsid w:val="3199580A"/>
    <w:rsid w:val="33B17B71"/>
    <w:rsid w:val="371E54F9"/>
    <w:rsid w:val="377B26F7"/>
    <w:rsid w:val="39754901"/>
    <w:rsid w:val="3C231406"/>
    <w:rsid w:val="40BB5E41"/>
    <w:rsid w:val="40F878D4"/>
    <w:rsid w:val="41C16A06"/>
    <w:rsid w:val="41FC2CE3"/>
    <w:rsid w:val="42330824"/>
    <w:rsid w:val="44EA674E"/>
    <w:rsid w:val="470C7205"/>
    <w:rsid w:val="48324E1C"/>
    <w:rsid w:val="4850479F"/>
    <w:rsid w:val="4B35377F"/>
    <w:rsid w:val="4B4C48BA"/>
    <w:rsid w:val="4C814CB3"/>
    <w:rsid w:val="4E3253B2"/>
    <w:rsid w:val="502A2CBA"/>
    <w:rsid w:val="50D53C5E"/>
    <w:rsid w:val="521045FE"/>
    <w:rsid w:val="56E959AA"/>
    <w:rsid w:val="58511B64"/>
    <w:rsid w:val="5E426908"/>
    <w:rsid w:val="60495CEA"/>
    <w:rsid w:val="653D6431"/>
    <w:rsid w:val="673C1D9C"/>
    <w:rsid w:val="684F2265"/>
    <w:rsid w:val="69E7646F"/>
    <w:rsid w:val="6AB3524E"/>
    <w:rsid w:val="6B79377C"/>
    <w:rsid w:val="6C9F28D0"/>
    <w:rsid w:val="6D5C26AD"/>
    <w:rsid w:val="6E6E333D"/>
    <w:rsid w:val="6FDA2B03"/>
    <w:rsid w:val="714D7D20"/>
    <w:rsid w:val="740B2994"/>
    <w:rsid w:val="7490027E"/>
    <w:rsid w:val="75130487"/>
    <w:rsid w:val="7D0D7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2"/>
    <w:semiHidden/>
    <w:qFormat/>
    <w:uiPriority w:val="99"/>
    <w:rPr>
      <w:sz w:val="18"/>
      <w:szCs w:val="18"/>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ascii="Arial" w:hAnsi="Arial" w:cs="Arial"/>
      <w:color w:val="000000"/>
      <w:sz w:val="20"/>
      <w:szCs w:val="20"/>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1632</Words>
  <Characters>1782</Characters>
  <Lines>18</Lines>
  <Paragraphs>5</Paragraphs>
  <TotalTime>12</TotalTime>
  <ScaleCrop>false</ScaleCrop>
  <LinksUpToDate>false</LinksUpToDate>
  <CharactersWithSpaces>1847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丛树义</cp:lastModifiedBy>
  <dcterms:modified xsi:type="dcterms:W3CDTF">2023-02-09T00:51:09Z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9D4B534279DF436980ECEA363159D3CC</vt:lpwstr>
  </property>
</Properties>
</file>