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80" w:hanging="480" w:hangingChars="200"/>
        <w:jc w:val="center"/>
        <w:rPr>
          <w:rFonts w:ascii="宋体" w:hAnsi="宋体"/>
          <w:sz w:val="24"/>
          <w:szCs w:val="24"/>
        </w:rPr>
      </w:pPr>
    </w:p>
    <w:p>
      <w:pPr>
        <w:spacing w:line="360" w:lineRule="auto"/>
        <w:ind w:left="964" w:hanging="964" w:hangingChars="200"/>
        <w:jc w:val="center"/>
        <w:rPr>
          <w:rFonts w:ascii="宋体" w:hAnsi="宋体"/>
          <w:sz w:val="24"/>
          <w:szCs w:val="24"/>
        </w:rPr>
      </w:pPr>
      <w:r>
        <w:rPr>
          <w:rFonts w:hint="eastAsia" w:ascii="黑体" w:hAnsi="宋体" w:eastAsia="黑体"/>
          <w:b/>
          <w:sz w:val="48"/>
          <w:szCs w:val="48"/>
        </w:rPr>
        <w:t>鑫广绿环再生资源股份有限公司</w:t>
      </w:r>
    </w:p>
    <w:p>
      <w:pPr>
        <w:spacing w:line="360" w:lineRule="auto"/>
        <w:jc w:val="center"/>
        <w:rPr>
          <w:rFonts w:ascii="黑体" w:hAnsi="宋体" w:eastAsia="黑体"/>
          <w:b/>
          <w:sz w:val="48"/>
          <w:szCs w:val="48"/>
        </w:rPr>
      </w:pPr>
      <w:r>
        <w:rPr>
          <w:rFonts w:hint="eastAsia" w:ascii="黑体" w:hAnsi="宋体" w:eastAsia="黑体"/>
          <w:b/>
          <w:sz w:val="48"/>
          <w:szCs w:val="48"/>
        </w:rPr>
        <w:t>危废处置中心技改项目监理</w:t>
      </w:r>
      <w:bookmarkStart w:id="286" w:name="_GoBack"/>
      <w:bookmarkEnd w:id="286"/>
    </w:p>
    <w:p>
      <w:pPr>
        <w:spacing w:line="360" w:lineRule="auto"/>
        <w:ind w:left="3120" w:hanging="3120" w:hangingChars="650"/>
        <w:rPr>
          <w:rFonts w:ascii="黑体" w:hAnsi="黑体" w:eastAsia="黑体"/>
          <w:sz w:val="48"/>
          <w:szCs w:val="48"/>
        </w:rPr>
      </w:pPr>
    </w:p>
    <w:p>
      <w:pPr>
        <w:spacing w:line="360" w:lineRule="auto"/>
        <w:ind w:hanging="960"/>
        <w:jc w:val="center"/>
        <w:rPr>
          <w:rFonts w:ascii="黑体" w:hAnsi="黑体" w:eastAsia="黑体"/>
          <w:b/>
          <w:sz w:val="72"/>
          <w:szCs w:val="72"/>
        </w:rPr>
      </w:pPr>
      <w:r>
        <w:rPr>
          <w:rFonts w:hint="eastAsia" w:ascii="黑体" w:hAnsi="黑体" w:eastAsia="黑体"/>
          <w:b/>
          <w:sz w:val="72"/>
          <w:szCs w:val="72"/>
        </w:rPr>
        <w:t>招</w:t>
      </w:r>
    </w:p>
    <w:p>
      <w:pPr>
        <w:spacing w:line="360" w:lineRule="auto"/>
        <w:ind w:hanging="960"/>
        <w:jc w:val="center"/>
        <w:rPr>
          <w:rFonts w:ascii="黑体" w:hAnsi="黑体" w:eastAsia="黑体"/>
          <w:b/>
          <w:sz w:val="10"/>
          <w:szCs w:val="10"/>
        </w:rPr>
      </w:pPr>
    </w:p>
    <w:p>
      <w:pPr>
        <w:spacing w:line="360" w:lineRule="auto"/>
        <w:ind w:hanging="960"/>
        <w:jc w:val="center"/>
        <w:rPr>
          <w:rFonts w:ascii="黑体" w:hAnsi="黑体" w:eastAsia="黑体"/>
          <w:b/>
          <w:sz w:val="10"/>
          <w:szCs w:val="10"/>
        </w:rPr>
      </w:pPr>
      <w:r>
        <w:rPr>
          <w:rFonts w:hint="eastAsia" w:ascii="黑体" w:hAnsi="黑体" w:eastAsia="黑体"/>
          <w:b/>
          <w:sz w:val="72"/>
          <w:szCs w:val="72"/>
        </w:rPr>
        <w:t>标</w:t>
      </w:r>
    </w:p>
    <w:p>
      <w:pPr>
        <w:spacing w:line="360" w:lineRule="auto"/>
        <w:ind w:hanging="960"/>
        <w:jc w:val="center"/>
        <w:rPr>
          <w:rFonts w:ascii="黑体" w:hAnsi="黑体" w:eastAsia="黑体"/>
          <w:b/>
          <w:sz w:val="10"/>
          <w:szCs w:val="10"/>
        </w:rPr>
      </w:pPr>
    </w:p>
    <w:p>
      <w:pPr>
        <w:spacing w:line="360" w:lineRule="auto"/>
        <w:ind w:hanging="960"/>
        <w:jc w:val="center"/>
        <w:rPr>
          <w:rFonts w:ascii="黑体" w:hAnsi="黑体" w:eastAsia="黑体"/>
          <w:b/>
          <w:sz w:val="10"/>
          <w:szCs w:val="10"/>
        </w:rPr>
      </w:pPr>
      <w:r>
        <w:rPr>
          <w:rFonts w:hint="eastAsia" w:ascii="黑体" w:hAnsi="黑体" w:eastAsia="黑体"/>
          <w:b/>
          <w:sz w:val="72"/>
          <w:szCs w:val="72"/>
        </w:rPr>
        <w:t>文</w:t>
      </w:r>
    </w:p>
    <w:p>
      <w:pPr>
        <w:spacing w:line="360" w:lineRule="auto"/>
        <w:ind w:hanging="960"/>
        <w:jc w:val="center"/>
        <w:rPr>
          <w:rFonts w:ascii="黑体" w:hAnsi="黑体" w:eastAsia="黑体"/>
          <w:b/>
          <w:sz w:val="10"/>
          <w:szCs w:val="10"/>
        </w:rPr>
      </w:pPr>
    </w:p>
    <w:p>
      <w:pPr>
        <w:spacing w:line="360" w:lineRule="auto"/>
        <w:ind w:hanging="960"/>
        <w:jc w:val="center"/>
        <w:rPr>
          <w:rFonts w:ascii="黑体" w:hAnsi="黑体" w:eastAsia="黑体"/>
          <w:b/>
          <w:sz w:val="72"/>
          <w:szCs w:val="72"/>
        </w:rPr>
      </w:pPr>
      <w:r>
        <w:rPr>
          <w:rFonts w:hint="eastAsia" w:ascii="黑体" w:hAnsi="黑体" w:eastAsia="黑体"/>
          <w:b/>
          <w:sz w:val="72"/>
          <w:szCs w:val="72"/>
        </w:rPr>
        <w:t>件</w:t>
      </w:r>
    </w:p>
    <w:p>
      <w:pPr>
        <w:snapToGrid w:val="0"/>
        <w:spacing w:line="360" w:lineRule="auto"/>
        <w:ind w:left="560" w:hanging="560" w:hangingChars="200"/>
        <w:jc w:val="center"/>
        <w:rPr>
          <w:rFonts w:ascii="宋体" w:hAnsi="宋体"/>
          <w:sz w:val="28"/>
          <w:szCs w:val="28"/>
        </w:rPr>
      </w:pPr>
    </w:p>
    <w:p>
      <w:pPr>
        <w:snapToGrid w:val="0"/>
        <w:spacing w:line="360" w:lineRule="auto"/>
        <w:ind w:left="560" w:hanging="560" w:hangingChars="200"/>
        <w:jc w:val="center"/>
        <w:rPr>
          <w:rFonts w:ascii="宋体" w:hAnsi="宋体"/>
          <w:sz w:val="28"/>
          <w:szCs w:val="28"/>
        </w:rPr>
      </w:pPr>
    </w:p>
    <w:p>
      <w:pPr>
        <w:snapToGrid w:val="0"/>
        <w:spacing w:line="360" w:lineRule="auto"/>
        <w:ind w:firstLine="3130" w:firstLineChars="1118"/>
        <w:rPr>
          <w:rFonts w:ascii="宋体" w:hAnsi="宋体"/>
          <w:sz w:val="28"/>
          <w:szCs w:val="28"/>
        </w:rPr>
      </w:pPr>
      <w:r>
        <w:rPr>
          <w:rFonts w:hint="eastAsia" w:ascii="宋体" w:hAnsi="宋体"/>
          <w:sz w:val="28"/>
          <w:szCs w:val="28"/>
        </w:rPr>
        <w:t>招标编号：</w:t>
      </w:r>
      <w:r>
        <w:rPr>
          <w:rFonts w:ascii="宋体" w:hAnsi="宋体"/>
          <w:sz w:val="28"/>
          <w:szCs w:val="28"/>
        </w:rPr>
        <w:t>XMB20</w:t>
      </w:r>
      <w:r>
        <w:rPr>
          <w:rFonts w:hint="eastAsia" w:ascii="宋体" w:hAnsi="宋体"/>
          <w:sz w:val="28"/>
          <w:szCs w:val="28"/>
        </w:rPr>
        <w:t>22</w:t>
      </w:r>
      <w:r>
        <w:rPr>
          <w:rFonts w:ascii="宋体" w:hAnsi="宋体"/>
          <w:sz w:val="28"/>
          <w:szCs w:val="28"/>
        </w:rPr>
        <w:t>0</w:t>
      </w:r>
      <w:r>
        <w:rPr>
          <w:rFonts w:hint="eastAsia" w:ascii="宋体" w:hAnsi="宋体"/>
          <w:sz w:val="28"/>
          <w:szCs w:val="28"/>
        </w:rPr>
        <w:t>11</w:t>
      </w:r>
    </w:p>
    <w:p>
      <w:pPr>
        <w:snapToGrid w:val="0"/>
        <w:spacing w:line="360" w:lineRule="auto"/>
        <w:ind w:firstLine="168" w:firstLineChars="168"/>
        <w:jc w:val="center"/>
        <w:rPr>
          <w:rFonts w:ascii="宋体" w:hAnsi="宋体"/>
          <w:sz w:val="10"/>
          <w:szCs w:val="10"/>
        </w:rPr>
      </w:pPr>
    </w:p>
    <w:p>
      <w:pPr>
        <w:snapToGrid w:val="0"/>
        <w:spacing w:line="360" w:lineRule="auto"/>
        <w:jc w:val="center"/>
        <w:rPr>
          <w:rFonts w:ascii="宋体" w:hAnsi="宋体"/>
          <w:sz w:val="10"/>
          <w:szCs w:val="10"/>
        </w:rPr>
      </w:pPr>
      <w:r>
        <w:rPr>
          <w:rFonts w:hint="eastAsia" w:ascii="宋体" w:hAnsi="宋体"/>
          <w:kern w:val="0"/>
          <w:sz w:val="28"/>
          <w:szCs w:val="28"/>
        </w:rPr>
        <w:t>招</w:t>
      </w:r>
      <w:r>
        <w:rPr>
          <w:rFonts w:ascii="宋体" w:hAnsi="宋体"/>
          <w:kern w:val="0"/>
          <w:sz w:val="28"/>
          <w:szCs w:val="28"/>
        </w:rPr>
        <w:t xml:space="preserve"> </w:t>
      </w:r>
      <w:r>
        <w:rPr>
          <w:rFonts w:hint="eastAsia" w:ascii="宋体" w:hAnsi="宋体"/>
          <w:kern w:val="0"/>
          <w:sz w:val="28"/>
          <w:szCs w:val="28"/>
        </w:rPr>
        <w:t>标</w:t>
      </w:r>
      <w:r>
        <w:rPr>
          <w:rFonts w:ascii="宋体" w:hAnsi="宋体"/>
          <w:kern w:val="0"/>
          <w:sz w:val="28"/>
          <w:szCs w:val="28"/>
        </w:rPr>
        <w:t xml:space="preserve"> </w:t>
      </w:r>
      <w:r>
        <w:rPr>
          <w:rFonts w:hint="eastAsia" w:ascii="宋体" w:hAnsi="宋体"/>
          <w:kern w:val="0"/>
          <w:sz w:val="28"/>
          <w:szCs w:val="28"/>
        </w:rPr>
        <w:t>人：</w:t>
      </w:r>
      <w:r>
        <w:rPr>
          <w:rFonts w:hint="eastAsia" w:ascii="宋体" w:hAnsi="宋体"/>
          <w:sz w:val="28"/>
          <w:szCs w:val="28"/>
        </w:rPr>
        <w:t>鑫广绿环再生资源股份有限公司</w:t>
      </w:r>
    </w:p>
    <w:p>
      <w:pPr>
        <w:snapToGrid w:val="0"/>
        <w:spacing w:line="360" w:lineRule="auto"/>
        <w:jc w:val="center"/>
        <w:rPr>
          <w:rFonts w:ascii="宋体" w:hAnsi="宋体"/>
          <w:sz w:val="10"/>
          <w:szCs w:val="10"/>
        </w:rPr>
      </w:pPr>
    </w:p>
    <w:p>
      <w:pPr>
        <w:spacing w:line="360" w:lineRule="auto"/>
        <w:jc w:val="center"/>
        <w:rPr>
          <w:rFonts w:ascii="宋体" w:hAnsi="宋体"/>
          <w:sz w:val="24"/>
          <w:szCs w:val="24"/>
        </w:rPr>
      </w:pPr>
      <w:r>
        <w:rPr>
          <w:rFonts w:hint="eastAsia" w:ascii="宋体" w:hAnsi="宋体"/>
          <w:sz w:val="24"/>
          <w:szCs w:val="24"/>
        </w:rPr>
        <w:t>二○二二年十一月</w:t>
      </w: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before="600" w:beforeLines="250" w:after="360" w:afterLines="150" w:line="360" w:lineRule="auto"/>
        <w:jc w:val="center"/>
        <w:rPr>
          <w:rFonts w:ascii="宋体" w:hAnsi="宋体"/>
          <w:b/>
          <w:bCs/>
          <w:sz w:val="44"/>
          <w:szCs w:val="44"/>
        </w:rPr>
      </w:pPr>
    </w:p>
    <w:p>
      <w:pPr>
        <w:spacing w:before="600" w:beforeLines="250" w:after="360" w:afterLines="150" w:line="360" w:lineRule="auto"/>
        <w:jc w:val="center"/>
        <w:rPr>
          <w:rFonts w:ascii="宋体" w:hAnsi="宋体"/>
          <w:b/>
          <w:bCs/>
          <w:sz w:val="44"/>
          <w:szCs w:val="44"/>
        </w:rPr>
      </w:pPr>
    </w:p>
    <w:p>
      <w:pPr>
        <w:spacing w:before="600" w:beforeLines="250" w:after="360" w:afterLines="150" w:line="360" w:lineRule="auto"/>
        <w:jc w:val="center"/>
        <w:rPr>
          <w:rFonts w:ascii="宋体" w:hAnsi="宋体"/>
          <w:b/>
          <w:bCs/>
          <w:sz w:val="48"/>
          <w:szCs w:val="48"/>
        </w:rPr>
      </w:pPr>
      <w:r>
        <w:rPr>
          <w:rFonts w:hint="eastAsia" w:ascii="宋体" w:hAnsi="宋体"/>
          <w:b/>
          <w:bCs/>
          <w:sz w:val="48"/>
          <w:szCs w:val="48"/>
        </w:rPr>
        <w:t>目   录</w:t>
      </w:r>
    </w:p>
    <w:p>
      <w:pPr>
        <w:spacing w:before="600" w:beforeLines="250" w:after="360" w:afterLines="150" w:line="360" w:lineRule="auto"/>
        <w:jc w:val="center"/>
        <w:rPr>
          <w:rFonts w:ascii="宋体" w:hAnsi="宋体"/>
          <w:b/>
          <w:bCs/>
          <w:sz w:val="48"/>
          <w:szCs w:val="48"/>
        </w:rPr>
      </w:pPr>
    </w:p>
    <w:p>
      <w:pPr>
        <w:spacing w:before="120" w:beforeLines="50" w:after="120" w:afterLines="50" w:line="480" w:lineRule="auto"/>
        <w:ind w:firstLine="900" w:firstLineChars="249"/>
        <w:rPr>
          <w:rFonts w:ascii="宋体"/>
          <w:b/>
          <w:bCs/>
          <w:sz w:val="36"/>
          <w:szCs w:val="36"/>
        </w:rPr>
      </w:pPr>
      <w:r>
        <w:rPr>
          <w:rFonts w:hint="eastAsia" w:ascii="宋体" w:hAnsi="宋体"/>
          <w:b/>
          <w:bCs/>
          <w:sz w:val="36"/>
          <w:szCs w:val="36"/>
        </w:rPr>
        <w:t>第一章</w:t>
      </w:r>
      <w:r>
        <w:rPr>
          <w:rFonts w:ascii="宋体" w:hAnsi="宋体"/>
          <w:b/>
          <w:bCs/>
          <w:sz w:val="36"/>
          <w:szCs w:val="36"/>
        </w:rPr>
        <w:t xml:space="preserve">   </w:t>
      </w:r>
      <w:r>
        <w:rPr>
          <w:rFonts w:hint="eastAsia" w:ascii="宋体" w:hAnsi="宋体"/>
          <w:b/>
          <w:bCs/>
          <w:sz w:val="36"/>
          <w:szCs w:val="36"/>
        </w:rPr>
        <w:t>招标公告</w:t>
      </w:r>
    </w:p>
    <w:p>
      <w:pPr>
        <w:spacing w:before="120" w:beforeLines="50" w:after="120" w:afterLines="50" w:line="480" w:lineRule="auto"/>
        <w:ind w:firstLine="904" w:firstLineChars="250"/>
        <w:rPr>
          <w:rFonts w:ascii="宋体"/>
          <w:b/>
          <w:bCs/>
          <w:sz w:val="36"/>
          <w:szCs w:val="36"/>
        </w:rPr>
      </w:pPr>
      <w:r>
        <w:rPr>
          <w:rFonts w:hint="eastAsia" w:ascii="宋体" w:hAnsi="宋体"/>
          <w:b/>
          <w:bCs/>
          <w:sz w:val="36"/>
          <w:szCs w:val="36"/>
        </w:rPr>
        <w:t>第二章</w:t>
      </w:r>
      <w:r>
        <w:rPr>
          <w:rFonts w:ascii="宋体" w:hAnsi="宋体"/>
          <w:b/>
          <w:bCs/>
          <w:sz w:val="36"/>
          <w:szCs w:val="36"/>
        </w:rPr>
        <w:t xml:space="preserve">   </w:t>
      </w:r>
      <w:r>
        <w:rPr>
          <w:rFonts w:hint="eastAsia" w:ascii="宋体" w:hAnsi="宋体"/>
          <w:b/>
          <w:bCs/>
          <w:sz w:val="36"/>
          <w:szCs w:val="36"/>
        </w:rPr>
        <w:t>投标须知</w:t>
      </w:r>
    </w:p>
    <w:p>
      <w:pPr>
        <w:spacing w:before="120" w:beforeLines="50" w:after="120" w:afterLines="50" w:line="480" w:lineRule="auto"/>
        <w:ind w:firstLine="904" w:firstLineChars="250"/>
        <w:rPr>
          <w:rFonts w:ascii="宋体" w:hAnsi="宋体"/>
          <w:b/>
          <w:bCs/>
          <w:sz w:val="36"/>
          <w:szCs w:val="36"/>
        </w:rPr>
      </w:pPr>
      <w:r>
        <w:rPr>
          <w:rFonts w:hint="eastAsia" w:ascii="宋体" w:hAnsi="宋体"/>
          <w:b/>
          <w:bCs/>
          <w:sz w:val="36"/>
          <w:szCs w:val="36"/>
        </w:rPr>
        <w:t>第三章</w:t>
      </w:r>
      <w:r>
        <w:rPr>
          <w:rFonts w:ascii="宋体" w:hAnsi="宋体"/>
          <w:b/>
          <w:bCs/>
          <w:sz w:val="36"/>
          <w:szCs w:val="36"/>
        </w:rPr>
        <w:t xml:space="preserve">   </w:t>
      </w:r>
      <w:r>
        <w:rPr>
          <w:rFonts w:hint="eastAsia" w:ascii="宋体" w:hAnsi="宋体"/>
          <w:b/>
          <w:bCs/>
          <w:sz w:val="36"/>
          <w:szCs w:val="36"/>
        </w:rPr>
        <w:t>合同条款</w:t>
      </w:r>
    </w:p>
    <w:p>
      <w:pPr>
        <w:spacing w:before="120" w:beforeLines="50" w:after="120" w:afterLines="50" w:line="480" w:lineRule="auto"/>
        <w:ind w:firstLine="904" w:firstLineChars="250"/>
        <w:rPr>
          <w:rFonts w:ascii="宋体" w:hAnsi="宋体"/>
          <w:b/>
          <w:bCs/>
          <w:sz w:val="36"/>
          <w:szCs w:val="36"/>
        </w:rPr>
      </w:pPr>
    </w:p>
    <w:p>
      <w:pPr>
        <w:spacing w:before="120" w:beforeLines="50" w:after="120" w:afterLines="50" w:line="480" w:lineRule="auto"/>
        <w:ind w:firstLine="904" w:firstLineChars="250"/>
        <w:rPr>
          <w:rFonts w:ascii="宋体" w:hAnsi="宋体"/>
          <w:b/>
          <w:bCs/>
          <w:sz w:val="36"/>
          <w:szCs w:val="36"/>
        </w:rPr>
      </w:pPr>
    </w:p>
    <w:p>
      <w:pPr>
        <w:spacing w:before="120" w:beforeLines="50" w:after="120" w:afterLines="50" w:line="480" w:lineRule="auto"/>
        <w:ind w:firstLine="904" w:firstLineChars="250"/>
        <w:rPr>
          <w:rFonts w:ascii="宋体" w:hAnsi="宋体"/>
          <w:b/>
          <w:bCs/>
          <w:sz w:val="36"/>
          <w:szCs w:val="36"/>
        </w:rPr>
      </w:pPr>
    </w:p>
    <w:p>
      <w:pPr>
        <w:spacing w:before="120" w:beforeLines="50" w:after="120" w:afterLines="50" w:line="480" w:lineRule="auto"/>
        <w:ind w:firstLine="904" w:firstLineChars="250"/>
        <w:rPr>
          <w:rFonts w:ascii="宋体" w:hAnsi="宋体"/>
          <w:b/>
          <w:bCs/>
          <w:sz w:val="36"/>
          <w:szCs w:val="36"/>
        </w:rPr>
      </w:pPr>
    </w:p>
    <w:p>
      <w:pPr>
        <w:spacing w:before="120" w:beforeLines="50" w:after="120" w:afterLines="50" w:line="480" w:lineRule="auto"/>
        <w:ind w:firstLine="904" w:firstLineChars="250"/>
        <w:rPr>
          <w:rFonts w:ascii="宋体" w:hAnsi="宋体"/>
          <w:b/>
          <w:bCs/>
          <w:sz w:val="36"/>
          <w:szCs w:val="36"/>
        </w:rPr>
      </w:pPr>
    </w:p>
    <w:p>
      <w:pPr>
        <w:spacing w:after="240" w:afterLines="100"/>
        <w:ind w:firstLine="840" w:firstLineChars="837"/>
        <w:rPr>
          <w:rFonts w:ascii="宋体" w:hAnsi="宋体"/>
          <w:b/>
          <w:sz w:val="10"/>
          <w:szCs w:val="10"/>
          <w:shd w:val="clear" w:color="auto" w:fill="FFFFFF"/>
        </w:rPr>
      </w:pPr>
    </w:p>
    <w:p>
      <w:pPr>
        <w:spacing w:after="240" w:afterLines="100"/>
        <w:jc w:val="center"/>
        <w:rPr>
          <w:rFonts w:ascii="宋体" w:hAnsi="宋体"/>
          <w:b/>
          <w:sz w:val="44"/>
          <w:szCs w:val="44"/>
          <w:shd w:val="clear" w:color="auto" w:fill="FFFFFF"/>
        </w:rPr>
      </w:pPr>
      <w:r>
        <w:rPr>
          <w:rFonts w:hint="eastAsia" w:ascii="宋体" w:hAnsi="宋体"/>
          <w:b/>
          <w:sz w:val="44"/>
          <w:szCs w:val="44"/>
          <w:shd w:val="clear" w:color="auto" w:fill="FFFFFF"/>
        </w:rPr>
        <w:t>招</w:t>
      </w:r>
      <w:r>
        <w:rPr>
          <w:rFonts w:ascii="宋体" w:hAnsi="宋体"/>
          <w:b/>
          <w:sz w:val="44"/>
          <w:szCs w:val="44"/>
          <w:shd w:val="clear" w:color="auto" w:fill="FFFFFF"/>
        </w:rPr>
        <w:t>标公告</w:t>
      </w:r>
    </w:p>
    <w:p>
      <w:pPr>
        <w:spacing w:after="240" w:afterLines="100"/>
        <w:ind w:firstLine="840" w:firstLineChars="837"/>
        <w:rPr>
          <w:rFonts w:ascii="宋体" w:hAnsi="宋体"/>
          <w:b/>
          <w:sz w:val="10"/>
          <w:szCs w:val="10"/>
          <w:shd w:val="clear" w:color="auto" w:fill="FFFFFF"/>
        </w:rPr>
      </w:pPr>
    </w:p>
    <w:p>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为满足公司项目建设、运营需要，鑫广绿环再生资源股份有限公司现对危废处置中心技改项目监理进行邀请招标，现</w:t>
      </w:r>
      <w:r>
        <w:rPr>
          <w:rFonts w:hint="eastAsia" w:ascii="宋体" w:hAnsi="宋体"/>
          <w:sz w:val="24"/>
          <w:szCs w:val="24"/>
          <w:shd w:val="clear" w:color="auto" w:fill="FFFFFF"/>
        </w:rPr>
        <w:t>邀请你单位参加该工程的投标</w:t>
      </w:r>
      <w:r>
        <w:rPr>
          <w:rFonts w:hint="eastAsia" w:ascii="宋体" w:hAnsi="宋体" w:cs="宋体"/>
          <w:color w:val="000000"/>
          <w:kern w:val="0"/>
          <w:sz w:val="24"/>
          <w:szCs w:val="24"/>
        </w:rPr>
        <w:t>。</w:t>
      </w:r>
    </w:p>
    <w:p>
      <w:pPr>
        <w:spacing w:line="360" w:lineRule="auto"/>
        <w:rPr>
          <w:rFonts w:ascii="宋体" w:hAnsi="宋体"/>
          <w:bCs/>
          <w:sz w:val="24"/>
          <w:szCs w:val="24"/>
        </w:rPr>
      </w:pPr>
      <w:r>
        <w:rPr>
          <w:rFonts w:hint="eastAsia" w:ascii="宋体" w:hAnsi="宋体" w:cs="宋体"/>
          <w:b/>
          <w:sz w:val="24"/>
          <w:szCs w:val="24"/>
        </w:rPr>
        <w:t>一、项目名称：</w:t>
      </w:r>
      <w:r>
        <w:rPr>
          <w:rFonts w:hint="eastAsia" w:asciiTheme="minorEastAsia" w:hAnsiTheme="minorEastAsia" w:eastAsiaTheme="minorEastAsia"/>
          <w:sz w:val="24"/>
          <w:szCs w:val="24"/>
        </w:rPr>
        <w:t>危废处置中心技改项目</w:t>
      </w:r>
      <w:r>
        <w:rPr>
          <w:rFonts w:hint="eastAsia" w:ascii="宋体" w:hAnsi="宋体" w:cs="宋体"/>
          <w:color w:val="000000"/>
          <w:kern w:val="0"/>
          <w:sz w:val="24"/>
          <w:szCs w:val="24"/>
        </w:rPr>
        <w:t>监理</w:t>
      </w:r>
    </w:p>
    <w:p>
      <w:pPr>
        <w:spacing w:line="360" w:lineRule="auto"/>
        <w:jc w:val="left"/>
        <w:rPr>
          <w:rFonts w:ascii="宋体" w:hAnsi="宋体"/>
          <w:sz w:val="24"/>
          <w:szCs w:val="24"/>
        </w:rPr>
      </w:pPr>
      <w:r>
        <w:rPr>
          <w:rFonts w:hint="eastAsia" w:ascii="宋体" w:hAnsi="宋体" w:cs="宋体"/>
          <w:b/>
          <w:sz w:val="24"/>
          <w:szCs w:val="24"/>
        </w:rPr>
        <w:t>二、招</w:t>
      </w:r>
      <w:r>
        <w:rPr>
          <w:rFonts w:ascii="宋体" w:hAnsi="宋体" w:cs="宋体"/>
          <w:b/>
          <w:sz w:val="24"/>
          <w:szCs w:val="24"/>
        </w:rPr>
        <w:t xml:space="preserve"> </w:t>
      </w:r>
      <w:r>
        <w:rPr>
          <w:rFonts w:hint="eastAsia" w:ascii="宋体" w:hAnsi="宋体" w:cs="宋体"/>
          <w:b/>
          <w:sz w:val="24"/>
          <w:szCs w:val="24"/>
        </w:rPr>
        <w:t>标</w:t>
      </w:r>
      <w:r>
        <w:rPr>
          <w:rFonts w:ascii="宋体" w:hAnsi="宋体" w:cs="宋体"/>
          <w:b/>
          <w:sz w:val="24"/>
          <w:szCs w:val="24"/>
        </w:rPr>
        <w:t xml:space="preserve"> </w:t>
      </w:r>
      <w:r>
        <w:rPr>
          <w:rFonts w:hint="eastAsia" w:ascii="宋体" w:hAnsi="宋体" w:cs="宋体"/>
          <w:b/>
          <w:sz w:val="24"/>
          <w:szCs w:val="24"/>
        </w:rPr>
        <w:t>人：</w:t>
      </w:r>
      <w:r>
        <w:rPr>
          <w:rFonts w:hint="eastAsia" w:ascii="宋体" w:hAnsi="宋体"/>
          <w:sz w:val="24"/>
          <w:szCs w:val="24"/>
        </w:rPr>
        <w:t>鑫广绿环再生资源股份有限公司</w:t>
      </w:r>
    </w:p>
    <w:p>
      <w:pPr>
        <w:spacing w:line="360" w:lineRule="auto"/>
        <w:jc w:val="left"/>
        <w:rPr>
          <w:rFonts w:ascii="宋体" w:hAnsi="宋体" w:cs="宋体"/>
          <w:sz w:val="24"/>
          <w:szCs w:val="24"/>
        </w:rPr>
      </w:pPr>
      <w:r>
        <w:rPr>
          <w:rFonts w:hint="eastAsia" w:ascii="宋体" w:hAnsi="宋体"/>
          <w:b/>
          <w:sz w:val="24"/>
          <w:szCs w:val="24"/>
          <w:shd w:val="clear" w:color="auto" w:fill="FFFFFF"/>
        </w:rPr>
        <w:t>三、</w:t>
      </w:r>
      <w:r>
        <w:rPr>
          <w:rFonts w:hint="eastAsia" w:ascii="宋体" w:hAnsi="宋体"/>
          <w:b/>
          <w:bCs/>
          <w:sz w:val="24"/>
          <w:szCs w:val="24"/>
          <w:shd w:val="clear" w:color="auto" w:fill="FFFFFF"/>
        </w:rPr>
        <w:t>招标编号：</w:t>
      </w:r>
      <w:r>
        <w:rPr>
          <w:rFonts w:ascii="宋体" w:hAnsi="宋体"/>
          <w:sz w:val="24"/>
          <w:szCs w:val="24"/>
        </w:rPr>
        <w:t>XMB20</w:t>
      </w:r>
      <w:r>
        <w:rPr>
          <w:rFonts w:hint="eastAsia" w:ascii="宋体" w:hAnsi="宋体"/>
          <w:sz w:val="24"/>
          <w:szCs w:val="24"/>
        </w:rPr>
        <w:t>2211</w:t>
      </w:r>
    </w:p>
    <w:p>
      <w:pPr>
        <w:spacing w:line="360" w:lineRule="auto"/>
        <w:ind w:right="-82"/>
        <w:rPr>
          <w:rFonts w:ascii="宋体" w:hAnsi="宋体"/>
          <w:sz w:val="24"/>
          <w:szCs w:val="24"/>
        </w:rPr>
      </w:pPr>
      <w:r>
        <w:rPr>
          <w:rFonts w:hint="eastAsia" w:ascii="宋体" w:hAnsi="宋体"/>
          <w:b/>
          <w:bCs/>
          <w:sz w:val="24"/>
          <w:szCs w:val="24"/>
          <w:shd w:val="clear" w:color="auto" w:fill="FFFFFF"/>
        </w:rPr>
        <w:t>四、招标范围：</w:t>
      </w:r>
      <w:r>
        <w:rPr>
          <w:rFonts w:hint="eastAsia" w:ascii="宋体" w:hAnsi="宋体"/>
          <w:sz w:val="24"/>
          <w:szCs w:val="24"/>
          <w:shd w:val="clear" w:color="auto" w:fill="FFFFFF"/>
        </w:rPr>
        <w:t>危废处置中心技改项目</w:t>
      </w:r>
      <w:r>
        <w:rPr>
          <w:rFonts w:hint="eastAsia" w:ascii="宋体" w:hAnsi="宋体"/>
          <w:sz w:val="24"/>
          <w:szCs w:val="24"/>
        </w:rPr>
        <w:t>的建筑安装工程及附属工程</w:t>
      </w:r>
      <w:r>
        <w:rPr>
          <w:rFonts w:hint="eastAsia" w:ascii="宋体" w:hAnsi="宋体" w:cs="宋体"/>
          <w:color w:val="000000"/>
          <w:kern w:val="0"/>
          <w:sz w:val="24"/>
          <w:szCs w:val="24"/>
        </w:rPr>
        <w:t>监理。</w:t>
      </w:r>
    </w:p>
    <w:p>
      <w:pPr>
        <w:spacing w:line="360" w:lineRule="auto"/>
        <w:ind w:right="-82" w:firstLine="480" w:firstLineChars="200"/>
        <w:rPr>
          <w:rFonts w:ascii="宋体" w:hAnsi="宋体"/>
          <w:sz w:val="24"/>
          <w:szCs w:val="24"/>
        </w:rPr>
      </w:pPr>
      <w:r>
        <w:rPr>
          <w:rFonts w:ascii="宋体" w:hAnsi="宋体"/>
          <w:sz w:val="24"/>
          <w:szCs w:val="24"/>
        </w:rPr>
        <w:t>本次</w:t>
      </w:r>
      <w:r>
        <w:rPr>
          <w:rFonts w:hint="eastAsia" w:ascii="宋体" w:hAnsi="宋体"/>
          <w:sz w:val="24"/>
          <w:szCs w:val="24"/>
        </w:rPr>
        <w:t>招标的</w:t>
      </w:r>
      <w:r>
        <w:rPr>
          <w:rFonts w:hint="eastAsia" w:ascii="宋体" w:hAnsi="宋体" w:cs="宋体"/>
          <w:color w:val="000000"/>
          <w:kern w:val="0"/>
          <w:sz w:val="24"/>
          <w:szCs w:val="24"/>
        </w:rPr>
        <w:t>工程</w:t>
      </w:r>
      <w:r>
        <w:rPr>
          <w:rFonts w:hint="eastAsia" w:ascii="宋体" w:hAnsi="宋体"/>
          <w:sz w:val="24"/>
          <w:szCs w:val="24"/>
        </w:rPr>
        <w:t>监理工作</w:t>
      </w:r>
      <w:r>
        <w:rPr>
          <w:rFonts w:ascii="宋体" w:hAnsi="宋体"/>
          <w:sz w:val="24"/>
          <w:szCs w:val="24"/>
        </w:rPr>
        <w:t>范围</w:t>
      </w:r>
      <w:r>
        <w:rPr>
          <w:rFonts w:hint="eastAsia" w:ascii="宋体" w:hAnsi="宋体"/>
          <w:sz w:val="24"/>
          <w:szCs w:val="24"/>
        </w:rPr>
        <w:t>为：工程施工的前期准备、</w:t>
      </w:r>
      <w:r>
        <w:rPr>
          <w:rFonts w:ascii="宋体" w:hAnsi="宋体"/>
          <w:sz w:val="24"/>
          <w:szCs w:val="24"/>
        </w:rPr>
        <w:t>工程施工、</w:t>
      </w:r>
      <w:r>
        <w:rPr>
          <w:rFonts w:hint="eastAsia" w:ascii="宋体" w:hAnsi="宋体"/>
          <w:sz w:val="24"/>
          <w:szCs w:val="24"/>
        </w:rPr>
        <w:t>工程验收及</w:t>
      </w:r>
      <w:r>
        <w:rPr>
          <w:rFonts w:ascii="宋体" w:hAnsi="宋体"/>
          <w:sz w:val="24"/>
          <w:szCs w:val="24"/>
        </w:rPr>
        <w:t>所有配套及保修全过程监理</w:t>
      </w:r>
      <w:r>
        <w:rPr>
          <w:rFonts w:hint="eastAsia" w:ascii="宋体" w:hAnsi="宋体"/>
          <w:sz w:val="24"/>
          <w:szCs w:val="24"/>
        </w:rPr>
        <w:t>。</w:t>
      </w:r>
    </w:p>
    <w:p>
      <w:pPr>
        <w:spacing w:line="360" w:lineRule="auto"/>
        <w:jc w:val="left"/>
        <w:rPr>
          <w:rFonts w:ascii="宋体" w:hAnsi="Times New Roman"/>
          <w:b/>
          <w:bCs/>
          <w:sz w:val="24"/>
          <w:szCs w:val="24"/>
          <w:shd w:val="clear" w:color="auto" w:fill="FFFFFF"/>
        </w:rPr>
      </w:pPr>
      <w:r>
        <w:rPr>
          <w:rFonts w:hint="eastAsia" w:ascii="宋体" w:hAnsi="宋体"/>
          <w:b/>
          <w:bCs/>
          <w:sz w:val="24"/>
          <w:szCs w:val="24"/>
          <w:shd w:val="clear" w:color="auto" w:fill="FFFFFF"/>
        </w:rPr>
        <w:t>五、投标人资质要求：</w:t>
      </w:r>
    </w:p>
    <w:p>
      <w:pPr>
        <w:tabs>
          <w:tab w:val="left" w:pos="2280"/>
        </w:tabs>
        <w:spacing w:line="360" w:lineRule="auto"/>
        <w:rPr>
          <w:rFonts w:ascii="宋体" w:hAnsi="宋体"/>
          <w:sz w:val="24"/>
          <w:szCs w:val="24"/>
          <w:highlight w:val="yellow"/>
        </w:rPr>
      </w:pPr>
      <w:r>
        <w:rPr>
          <w:rFonts w:hint="eastAsia" w:ascii="宋体" w:hAnsi="宋体"/>
          <w:sz w:val="24"/>
          <w:szCs w:val="24"/>
          <w:highlight w:val="yellow"/>
        </w:rPr>
        <w:t>本次招标要求投标人在中华人民共和国境内登记注册，持有合法营业执照</w:t>
      </w:r>
      <w:r>
        <w:rPr>
          <w:rFonts w:ascii="宋体" w:hAnsi="宋体"/>
          <w:sz w:val="24"/>
          <w:szCs w:val="24"/>
          <w:highlight w:val="yellow"/>
        </w:rPr>
        <w:t>的独立法人</w:t>
      </w:r>
      <w:r>
        <w:rPr>
          <w:rFonts w:hint="eastAsia" w:ascii="宋体" w:hAnsi="宋体"/>
          <w:sz w:val="24"/>
          <w:szCs w:val="24"/>
          <w:highlight w:val="yellow"/>
        </w:rPr>
        <w:t>，具有工程监理综合资质或房屋建筑工程专业丙级（含）以上资质，投标人拟派总监须具备</w:t>
      </w:r>
      <w:r>
        <w:rPr>
          <w:rFonts w:ascii="宋体" w:hAnsi="宋体"/>
          <w:sz w:val="24"/>
          <w:szCs w:val="24"/>
          <w:highlight w:val="yellow"/>
        </w:rPr>
        <w:t>房屋建筑工程注册监理工程师</w:t>
      </w:r>
      <w:r>
        <w:rPr>
          <w:rFonts w:hint="eastAsia" w:ascii="宋体" w:hAnsi="宋体"/>
          <w:sz w:val="24"/>
          <w:szCs w:val="24"/>
          <w:highlight w:val="yellow"/>
        </w:rPr>
        <w:t>执业资格，承担过类似工程项目的具有良好业绩，并在人员、设备、资金等方面具有相应的能力。</w:t>
      </w:r>
    </w:p>
    <w:p>
      <w:pPr>
        <w:spacing w:line="360" w:lineRule="auto"/>
        <w:ind w:firstLine="458" w:firstLineChars="191"/>
        <w:jc w:val="left"/>
        <w:rPr>
          <w:rFonts w:hint="eastAsia" w:ascii="宋体" w:hAnsi="宋体"/>
          <w:sz w:val="24"/>
          <w:szCs w:val="24"/>
        </w:rPr>
      </w:pPr>
      <w:r>
        <w:rPr>
          <w:rFonts w:hint="eastAsia" w:ascii="宋体" w:hAnsi="宋体"/>
          <w:sz w:val="24"/>
          <w:szCs w:val="24"/>
        </w:rPr>
        <w:t>在最近三年内没有串通投标行为或者被有关行政监督部门行政处罚停止投标行为，没有发生严重违约行为以及发生质量安全事故。</w:t>
      </w:r>
    </w:p>
    <w:p>
      <w:pPr>
        <w:spacing w:line="360" w:lineRule="auto"/>
        <w:ind w:firstLine="458" w:firstLineChars="191"/>
        <w:jc w:val="left"/>
        <w:rPr>
          <w:rFonts w:hint="eastAsia" w:ascii="宋体" w:hAnsi="宋体"/>
          <w:sz w:val="24"/>
          <w:szCs w:val="24"/>
        </w:rPr>
      </w:pPr>
    </w:p>
    <w:p>
      <w:pPr>
        <w:spacing w:line="360" w:lineRule="auto"/>
        <w:ind w:firstLine="458" w:firstLineChars="191"/>
        <w:jc w:val="left"/>
        <w:rPr>
          <w:rFonts w:hint="default" w:ascii="宋体" w:hAnsi="宋体" w:eastAsia="宋体"/>
          <w:color w:val="auto"/>
          <w:sz w:val="24"/>
          <w:szCs w:val="24"/>
          <w:lang w:val="en-US" w:eastAsia="zh-CN"/>
        </w:rPr>
      </w:pPr>
      <w:r>
        <w:rPr>
          <w:rFonts w:hint="eastAsia" w:ascii="宋体" w:hAnsi="宋体"/>
          <w:color w:val="auto"/>
          <w:sz w:val="24"/>
          <w:szCs w:val="24"/>
        </w:rPr>
        <w:t>报名</w:t>
      </w:r>
      <w:r>
        <w:rPr>
          <w:rFonts w:ascii="宋体" w:hAnsi="宋体"/>
          <w:color w:val="auto"/>
          <w:sz w:val="24"/>
          <w:szCs w:val="24"/>
        </w:rPr>
        <w:t>联系人：武威</w:t>
      </w:r>
      <w:r>
        <w:rPr>
          <w:rFonts w:hint="eastAsia" w:ascii="宋体" w:hAnsi="宋体"/>
          <w:color w:val="auto"/>
          <w:sz w:val="24"/>
          <w:szCs w:val="24"/>
        </w:rPr>
        <w:t>男     电话</w:t>
      </w:r>
      <w:r>
        <w:rPr>
          <w:rFonts w:ascii="宋体" w:hAnsi="宋体"/>
          <w:color w:val="auto"/>
          <w:sz w:val="24"/>
          <w:szCs w:val="24"/>
        </w:rPr>
        <w:t>：</w:t>
      </w:r>
      <w:r>
        <w:rPr>
          <w:rFonts w:hint="eastAsia" w:ascii="宋体" w:hAnsi="宋体"/>
          <w:color w:val="auto"/>
          <w:sz w:val="24"/>
          <w:szCs w:val="24"/>
          <w:lang w:val="en-US" w:eastAsia="zh-CN"/>
        </w:rPr>
        <w:t>15650569826</w:t>
      </w: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tabs>
          <w:tab w:val="left" w:pos="2280"/>
        </w:tabs>
        <w:spacing w:line="360" w:lineRule="auto"/>
        <w:rPr>
          <w:rFonts w:ascii="宋体" w:hAnsi="宋体"/>
          <w:sz w:val="24"/>
          <w:szCs w:val="24"/>
          <w:shd w:val="clear" w:color="auto" w:fill="FFFFFF"/>
        </w:rPr>
      </w:pPr>
    </w:p>
    <w:p>
      <w:pPr>
        <w:keepNext/>
        <w:keepLines/>
        <w:spacing w:before="480" w:after="480" w:line="480" w:lineRule="exact"/>
        <w:ind w:right="-82"/>
        <w:jc w:val="center"/>
        <w:outlineLvl w:val="0"/>
        <w:rPr>
          <w:rFonts w:ascii="宋体"/>
          <w:b/>
          <w:kern w:val="44"/>
          <w:sz w:val="44"/>
          <w:szCs w:val="44"/>
        </w:rPr>
      </w:pPr>
      <w:bookmarkStart w:id="0" w:name="_Toc122510034"/>
      <w:bookmarkStart w:id="1" w:name="_Toc104370869"/>
      <w:bookmarkStart w:id="2" w:name="_Toc73429364"/>
      <w:bookmarkStart w:id="3" w:name="_Toc64428451"/>
      <w:bookmarkStart w:id="4" w:name="_Toc144884189"/>
      <w:bookmarkStart w:id="5" w:name="_Toc232936379"/>
      <w:bookmarkStart w:id="6" w:name="_Toc226536785"/>
      <w:r>
        <w:rPr>
          <w:rFonts w:hint="eastAsia" w:ascii="宋体" w:hAnsi="宋体"/>
          <w:b/>
          <w:kern w:val="44"/>
          <w:sz w:val="44"/>
          <w:szCs w:val="44"/>
        </w:rPr>
        <w:t>第二章</w:t>
      </w:r>
      <w:r>
        <w:rPr>
          <w:rFonts w:ascii="宋体" w:hAnsi="宋体"/>
          <w:b/>
          <w:kern w:val="44"/>
          <w:sz w:val="44"/>
          <w:szCs w:val="44"/>
        </w:rPr>
        <w:t xml:space="preserve">  </w:t>
      </w:r>
      <w:r>
        <w:rPr>
          <w:rFonts w:hint="eastAsia" w:ascii="宋体" w:hAnsi="宋体"/>
          <w:b/>
          <w:kern w:val="44"/>
          <w:sz w:val="44"/>
          <w:szCs w:val="44"/>
        </w:rPr>
        <w:t>投标须知</w:t>
      </w:r>
      <w:bookmarkEnd w:id="0"/>
      <w:bookmarkEnd w:id="1"/>
      <w:bookmarkEnd w:id="2"/>
      <w:bookmarkEnd w:id="3"/>
      <w:bookmarkEnd w:id="4"/>
      <w:bookmarkEnd w:id="5"/>
      <w:bookmarkEnd w:id="6"/>
    </w:p>
    <w:p>
      <w:pPr>
        <w:keepNext/>
        <w:keepLines/>
        <w:spacing w:line="360" w:lineRule="auto"/>
        <w:ind w:right="-79"/>
        <w:jc w:val="center"/>
        <w:outlineLvl w:val="0"/>
        <w:rPr>
          <w:rFonts w:ascii="宋体"/>
          <w:b/>
          <w:bCs/>
          <w:kern w:val="44"/>
          <w:sz w:val="18"/>
          <w:szCs w:val="18"/>
        </w:rPr>
      </w:pPr>
      <w:bookmarkStart w:id="7" w:name="_Toc232936380"/>
      <w:bookmarkStart w:id="8" w:name="_Toc146619100"/>
      <w:bookmarkStart w:id="9" w:name="_Toc144884190"/>
      <w:bookmarkStart w:id="10" w:name="_Toc104370870"/>
      <w:bookmarkStart w:id="11" w:name="_Toc122510035"/>
      <w:bookmarkStart w:id="12" w:name="_Toc73429365"/>
      <w:bookmarkStart w:id="13" w:name="_Toc64428452"/>
      <w:r>
        <w:rPr>
          <w:rFonts w:ascii="宋体" w:hAnsi="宋体"/>
          <w:b/>
          <w:bCs/>
          <w:kern w:val="44"/>
          <w:sz w:val="24"/>
          <w:szCs w:val="24"/>
        </w:rPr>
        <w:t>1.</w:t>
      </w:r>
      <w:r>
        <w:rPr>
          <w:rFonts w:hint="eastAsia" w:ascii="宋体" w:hAnsi="宋体"/>
          <w:b/>
          <w:bCs/>
          <w:kern w:val="44"/>
          <w:sz w:val="24"/>
          <w:szCs w:val="24"/>
        </w:rPr>
        <w:t>前附表</w:t>
      </w:r>
      <w:bookmarkEnd w:id="7"/>
      <w:bookmarkEnd w:id="8"/>
      <w:bookmarkEnd w:id="9"/>
      <w:bookmarkEnd w:id="10"/>
      <w:bookmarkEnd w:id="11"/>
      <w:bookmarkEnd w:id="12"/>
      <w:bookmarkEnd w:id="13"/>
    </w:p>
    <w:tbl>
      <w:tblPr>
        <w:tblStyle w:val="18"/>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62"/>
        <w:gridCol w:w="900"/>
        <w:gridCol w:w="517"/>
        <w:gridCol w:w="6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4" w:type="pct"/>
            <w:vAlign w:val="center"/>
          </w:tcPr>
          <w:p>
            <w:pPr>
              <w:spacing w:line="360" w:lineRule="auto"/>
              <w:ind w:leftChars="-1" w:right="-82" w:hanging="2" w:hangingChars="1"/>
              <w:rPr>
                <w:rFonts w:ascii="宋体"/>
                <w:sz w:val="24"/>
                <w:szCs w:val="24"/>
              </w:rPr>
            </w:pPr>
            <w:bookmarkStart w:id="14" w:name="_Toc232928673"/>
            <w:r>
              <w:rPr>
                <w:rFonts w:hint="eastAsia" w:ascii="宋体" w:hAnsi="宋体"/>
                <w:sz w:val="24"/>
                <w:szCs w:val="24"/>
              </w:rPr>
              <w:t>项号</w:t>
            </w:r>
            <w:bookmarkEnd w:id="14"/>
          </w:p>
        </w:tc>
        <w:tc>
          <w:tcPr>
            <w:tcW w:w="659" w:type="pct"/>
            <w:vAlign w:val="center"/>
          </w:tcPr>
          <w:p>
            <w:pPr>
              <w:spacing w:line="360" w:lineRule="auto"/>
              <w:ind w:leftChars="-1" w:right="-82" w:hanging="2" w:hangingChars="1"/>
              <w:rPr>
                <w:rFonts w:ascii="宋体"/>
                <w:sz w:val="24"/>
                <w:szCs w:val="24"/>
              </w:rPr>
            </w:pPr>
            <w:bookmarkStart w:id="15" w:name="_Toc232928674"/>
            <w:r>
              <w:rPr>
                <w:rFonts w:hint="eastAsia" w:ascii="宋体" w:hAnsi="宋体"/>
                <w:sz w:val="24"/>
                <w:szCs w:val="24"/>
              </w:rPr>
              <w:t>条款号</w:t>
            </w:r>
            <w:bookmarkEnd w:id="15"/>
          </w:p>
        </w:tc>
        <w:tc>
          <w:tcPr>
            <w:tcW w:w="4055" w:type="pct"/>
            <w:gridSpan w:val="3"/>
            <w:vAlign w:val="center"/>
          </w:tcPr>
          <w:p>
            <w:pPr>
              <w:spacing w:line="360" w:lineRule="auto"/>
              <w:ind w:leftChars="-1" w:right="-82" w:hanging="2" w:hangingChars="1"/>
              <w:rPr>
                <w:rFonts w:ascii="宋体"/>
                <w:sz w:val="24"/>
                <w:szCs w:val="24"/>
              </w:rPr>
            </w:pPr>
            <w:bookmarkStart w:id="16" w:name="_Toc232928675"/>
            <w:r>
              <w:rPr>
                <w:rFonts w:hint="eastAsia" w:ascii="宋体" w:hAnsi="宋体"/>
                <w:sz w:val="24"/>
                <w:szCs w:val="24"/>
              </w:rPr>
              <w:t>主</w:t>
            </w:r>
            <w:r>
              <w:rPr>
                <w:rFonts w:ascii="宋体" w:hAnsi="宋体"/>
                <w:sz w:val="24"/>
                <w:szCs w:val="24"/>
              </w:rPr>
              <w:t xml:space="preserve"> </w:t>
            </w:r>
            <w:r>
              <w:rPr>
                <w:rFonts w:hint="eastAsia" w:ascii="宋体" w:hAnsi="宋体"/>
                <w:sz w:val="24"/>
                <w:szCs w:val="24"/>
              </w:rPr>
              <w:t>要</w:t>
            </w:r>
            <w:r>
              <w:rPr>
                <w:rFonts w:ascii="宋体" w:hAnsi="宋体"/>
                <w:sz w:val="24"/>
                <w:szCs w:val="24"/>
              </w:rPr>
              <w:t xml:space="preserve"> </w:t>
            </w:r>
            <w:r>
              <w:rPr>
                <w:rFonts w:hint="eastAsia" w:ascii="宋体" w:hAnsi="宋体"/>
                <w:sz w:val="24"/>
                <w:szCs w:val="24"/>
              </w:rPr>
              <w:t>内</w:t>
            </w:r>
            <w:r>
              <w:rPr>
                <w:rFonts w:ascii="宋体" w:hAnsi="宋体"/>
                <w:sz w:val="24"/>
                <w:szCs w:val="24"/>
              </w:rPr>
              <w:t xml:space="preserve"> </w:t>
            </w:r>
            <w:r>
              <w:rPr>
                <w:rFonts w:hint="eastAsia" w:ascii="宋体" w:hAnsi="宋体"/>
                <w:sz w:val="24"/>
                <w:szCs w:val="24"/>
              </w:rPr>
              <w:t>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284" w:type="pct"/>
            <w:vAlign w:val="center"/>
          </w:tcPr>
          <w:p>
            <w:pPr>
              <w:spacing w:line="360" w:lineRule="auto"/>
              <w:ind w:leftChars="-1" w:right="-82" w:hanging="2" w:hangingChars="1"/>
              <w:rPr>
                <w:rFonts w:ascii="宋体"/>
                <w:sz w:val="24"/>
                <w:szCs w:val="24"/>
              </w:rPr>
            </w:pPr>
            <w:bookmarkStart w:id="17" w:name="_Toc232928676"/>
            <w:r>
              <w:rPr>
                <w:rFonts w:ascii="宋体" w:hAnsi="宋体"/>
                <w:sz w:val="24"/>
                <w:szCs w:val="24"/>
              </w:rPr>
              <w:t>1</w:t>
            </w:r>
            <w:bookmarkEnd w:id="17"/>
          </w:p>
        </w:tc>
        <w:tc>
          <w:tcPr>
            <w:tcW w:w="659" w:type="pct"/>
            <w:vAlign w:val="center"/>
          </w:tcPr>
          <w:p>
            <w:pPr>
              <w:spacing w:line="360" w:lineRule="auto"/>
              <w:ind w:leftChars="-1" w:right="-82" w:hanging="2" w:hangingChars="1"/>
              <w:rPr>
                <w:rFonts w:ascii="宋体"/>
                <w:sz w:val="24"/>
                <w:szCs w:val="24"/>
              </w:rPr>
            </w:pPr>
            <w:bookmarkStart w:id="18" w:name="_Toc232928677"/>
            <w:r>
              <w:rPr>
                <w:rFonts w:ascii="宋体" w:hAnsi="宋体"/>
                <w:sz w:val="24"/>
                <w:szCs w:val="24"/>
              </w:rPr>
              <w:t>1.1</w:t>
            </w:r>
            <w:bookmarkEnd w:id="18"/>
          </w:p>
        </w:tc>
        <w:tc>
          <w:tcPr>
            <w:tcW w:w="4055" w:type="pct"/>
            <w:gridSpan w:val="3"/>
            <w:vAlign w:val="center"/>
          </w:tcPr>
          <w:p>
            <w:pPr>
              <w:spacing w:line="360" w:lineRule="auto"/>
              <w:ind w:left="1678" w:leftChars="-1" w:right="-82" w:hanging="1680" w:hangingChars="700"/>
              <w:rPr>
                <w:rFonts w:ascii="宋体"/>
                <w:sz w:val="24"/>
                <w:szCs w:val="24"/>
              </w:rPr>
            </w:pPr>
            <w:bookmarkStart w:id="19" w:name="_Toc232928678"/>
            <w:r>
              <w:rPr>
                <w:rFonts w:hint="eastAsia" w:ascii="宋体" w:hAnsi="宋体"/>
                <w:sz w:val="24"/>
                <w:szCs w:val="24"/>
              </w:rPr>
              <w:t>工程名称：</w:t>
            </w:r>
            <w:bookmarkEnd w:id="19"/>
            <w:r>
              <w:rPr>
                <w:rFonts w:hint="eastAsia" w:ascii="宋体" w:hAnsi="宋体"/>
                <w:sz w:val="24"/>
                <w:szCs w:val="24"/>
              </w:rPr>
              <w:t>鑫广绿环再生资源股份有限公司</w:t>
            </w:r>
            <w:r>
              <w:rPr>
                <w:rFonts w:hint="eastAsia" w:asciiTheme="minorEastAsia" w:hAnsiTheme="minorEastAsia" w:eastAsiaTheme="minorEastAsia"/>
                <w:sz w:val="24"/>
                <w:szCs w:val="24"/>
              </w:rPr>
              <w:t>危废处置中心技改项目</w:t>
            </w:r>
            <w:r>
              <w:rPr>
                <w:rFonts w:hint="eastAsia" w:ascii="宋体" w:hAnsi="宋体" w:cs="宋体"/>
                <w:color w:val="000000"/>
                <w:kern w:val="0"/>
                <w:sz w:val="24"/>
                <w:szCs w:val="24"/>
              </w:rPr>
              <w:t>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284" w:type="pct"/>
            <w:vMerge w:val="restart"/>
            <w:vAlign w:val="center"/>
          </w:tcPr>
          <w:p>
            <w:pPr>
              <w:spacing w:line="360" w:lineRule="auto"/>
              <w:ind w:leftChars="-1" w:right="-82" w:hanging="2" w:hangingChars="1"/>
              <w:rPr>
                <w:rFonts w:ascii="宋体"/>
                <w:sz w:val="24"/>
                <w:szCs w:val="24"/>
              </w:rPr>
            </w:pPr>
            <w:r>
              <w:rPr>
                <w:rFonts w:ascii="宋体" w:hAnsi="宋体"/>
                <w:sz w:val="24"/>
                <w:szCs w:val="24"/>
              </w:rPr>
              <w:t>2</w:t>
            </w:r>
          </w:p>
        </w:tc>
        <w:tc>
          <w:tcPr>
            <w:tcW w:w="659" w:type="pct"/>
            <w:vMerge w:val="restart"/>
            <w:vAlign w:val="center"/>
          </w:tcPr>
          <w:p>
            <w:pPr>
              <w:spacing w:line="360" w:lineRule="auto"/>
              <w:ind w:leftChars="-1" w:right="-82" w:hanging="2" w:hangingChars="1"/>
              <w:rPr>
                <w:rFonts w:ascii="宋体"/>
                <w:sz w:val="24"/>
                <w:szCs w:val="24"/>
              </w:rPr>
            </w:pPr>
            <w:bookmarkStart w:id="20" w:name="_Toc232928683"/>
            <w:r>
              <w:rPr>
                <w:rFonts w:ascii="宋体" w:hAnsi="宋体"/>
                <w:sz w:val="24"/>
                <w:szCs w:val="24"/>
              </w:rPr>
              <w:t>2.1</w:t>
            </w:r>
            <w:bookmarkEnd w:id="20"/>
          </w:p>
          <w:p>
            <w:pPr>
              <w:spacing w:line="360" w:lineRule="auto"/>
              <w:ind w:leftChars="-1" w:right="-82" w:hanging="2" w:hangingChars="1"/>
              <w:rPr>
                <w:rFonts w:ascii="宋体"/>
                <w:sz w:val="24"/>
                <w:szCs w:val="24"/>
              </w:rPr>
            </w:pPr>
            <w:bookmarkStart w:id="21" w:name="_Toc232928684"/>
            <w:r>
              <w:rPr>
                <w:rFonts w:hint="eastAsia" w:ascii="宋体" w:hAnsi="宋体"/>
                <w:sz w:val="24"/>
                <w:szCs w:val="24"/>
              </w:rPr>
              <w:t>至</w:t>
            </w:r>
            <w:bookmarkEnd w:id="21"/>
          </w:p>
          <w:p>
            <w:pPr>
              <w:spacing w:line="360" w:lineRule="auto"/>
              <w:ind w:leftChars="-1" w:right="-82" w:hanging="2" w:hangingChars="1"/>
              <w:rPr>
                <w:rFonts w:ascii="宋体"/>
                <w:sz w:val="24"/>
                <w:szCs w:val="24"/>
              </w:rPr>
            </w:pPr>
            <w:bookmarkStart w:id="22" w:name="_Toc232928685"/>
            <w:r>
              <w:rPr>
                <w:rFonts w:ascii="宋体" w:hAnsi="宋体"/>
                <w:sz w:val="24"/>
                <w:szCs w:val="24"/>
              </w:rPr>
              <w:t>2</w:t>
            </w:r>
            <w:r>
              <w:rPr>
                <w:rFonts w:ascii="宋体"/>
                <w:sz w:val="24"/>
                <w:szCs w:val="24"/>
              </w:rPr>
              <w:t>.</w:t>
            </w:r>
            <w:bookmarkEnd w:id="22"/>
            <w:r>
              <w:rPr>
                <w:rFonts w:ascii="宋体" w:hAnsi="宋体"/>
                <w:sz w:val="24"/>
                <w:szCs w:val="24"/>
              </w:rPr>
              <w:t>5</w:t>
            </w:r>
          </w:p>
        </w:tc>
        <w:tc>
          <w:tcPr>
            <w:tcW w:w="470" w:type="pct"/>
            <w:vMerge w:val="restart"/>
            <w:vAlign w:val="center"/>
          </w:tcPr>
          <w:p>
            <w:pPr>
              <w:spacing w:line="360" w:lineRule="auto"/>
              <w:ind w:leftChars="-1" w:right="-82" w:hanging="2" w:hangingChars="1"/>
              <w:jc w:val="center"/>
              <w:rPr>
                <w:rFonts w:ascii="宋体"/>
                <w:sz w:val="24"/>
                <w:szCs w:val="24"/>
              </w:rPr>
            </w:pPr>
            <w:bookmarkStart w:id="23" w:name="_Toc232928686"/>
            <w:r>
              <w:rPr>
                <w:rFonts w:hint="eastAsia" w:ascii="宋体" w:hAnsi="宋体"/>
                <w:sz w:val="24"/>
                <w:szCs w:val="24"/>
              </w:rPr>
              <w:t>招</w:t>
            </w:r>
            <w:bookmarkEnd w:id="23"/>
          </w:p>
          <w:p>
            <w:pPr>
              <w:spacing w:line="360" w:lineRule="auto"/>
              <w:ind w:leftChars="-1" w:right="-82" w:hanging="2" w:hangingChars="1"/>
              <w:jc w:val="center"/>
              <w:rPr>
                <w:rFonts w:ascii="宋体"/>
                <w:sz w:val="24"/>
                <w:szCs w:val="24"/>
              </w:rPr>
            </w:pPr>
            <w:bookmarkStart w:id="24" w:name="_Toc232928687"/>
            <w:r>
              <w:rPr>
                <w:rFonts w:hint="eastAsia" w:ascii="宋体" w:hAnsi="宋体"/>
                <w:sz w:val="24"/>
                <w:szCs w:val="24"/>
              </w:rPr>
              <w:t>投</w:t>
            </w:r>
            <w:bookmarkEnd w:id="24"/>
          </w:p>
          <w:p>
            <w:pPr>
              <w:spacing w:line="360" w:lineRule="auto"/>
              <w:ind w:leftChars="-1" w:right="-82" w:hanging="2" w:hangingChars="1"/>
              <w:jc w:val="center"/>
              <w:rPr>
                <w:rFonts w:ascii="宋体"/>
                <w:sz w:val="24"/>
                <w:szCs w:val="24"/>
              </w:rPr>
            </w:pPr>
            <w:bookmarkStart w:id="25" w:name="_Toc232928688"/>
            <w:r>
              <w:rPr>
                <w:rFonts w:hint="eastAsia" w:ascii="宋体" w:hAnsi="宋体"/>
                <w:sz w:val="24"/>
                <w:szCs w:val="24"/>
              </w:rPr>
              <w:t>标</w:t>
            </w:r>
            <w:bookmarkEnd w:id="25"/>
          </w:p>
          <w:p>
            <w:pPr>
              <w:spacing w:line="360" w:lineRule="auto"/>
              <w:ind w:leftChars="-1" w:right="-82" w:hanging="2" w:hangingChars="1"/>
              <w:jc w:val="center"/>
              <w:rPr>
                <w:rFonts w:ascii="宋体"/>
                <w:sz w:val="24"/>
                <w:szCs w:val="24"/>
              </w:rPr>
            </w:pPr>
            <w:bookmarkStart w:id="26" w:name="_Toc232928689"/>
            <w:r>
              <w:rPr>
                <w:rFonts w:hint="eastAsia" w:ascii="宋体" w:hAnsi="宋体"/>
                <w:sz w:val="24"/>
                <w:szCs w:val="24"/>
              </w:rPr>
              <w:t>时</w:t>
            </w:r>
            <w:bookmarkEnd w:id="26"/>
          </w:p>
          <w:p>
            <w:pPr>
              <w:spacing w:line="360" w:lineRule="auto"/>
              <w:ind w:leftChars="-1" w:right="-82" w:hanging="2" w:hangingChars="1"/>
              <w:jc w:val="center"/>
              <w:rPr>
                <w:rFonts w:ascii="宋体"/>
                <w:sz w:val="24"/>
                <w:szCs w:val="24"/>
              </w:rPr>
            </w:pPr>
            <w:bookmarkStart w:id="27" w:name="_Toc232928690"/>
            <w:r>
              <w:rPr>
                <w:rFonts w:hint="eastAsia" w:ascii="宋体" w:hAnsi="宋体"/>
                <w:sz w:val="24"/>
                <w:szCs w:val="24"/>
              </w:rPr>
              <w:t>间</w:t>
            </w:r>
            <w:bookmarkEnd w:id="27"/>
          </w:p>
          <w:p>
            <w:pPr>
              <w:spacing w:line="360" w:lineRule="auto"/>
              <w:ind w:leftChars="-1" w:right="-82" w:hanging="2" w:hangingChars="1"/>
              <w:jc w:val="center"/>
              <w:rPr>
                <w:rFonts w:ascii="宋体"/>
                <w:sz w:val="24"/>
                <w:szCs w:val="24"/>
              </w:rPr>
            </w:pPr>
            <w:bookmarkStart w:id="28" w:name="_Toc232928691"/>
            <w:r>
              <w:rPr>
                <w:rFonts w:hint="eastAsia" w:ascii="宋体" w:hAnsi="宋体"/>
                <w:sz w:val="24"/>
                <w:szCs w:val="24"/>
              </w:rPr>
              <w:t>表</w:t>
            </w:r>
            <w:bookmarkEnd w:id="28"/>
          </w:p>
        </w:tc>
        <w:tc>
          <w:tcPr>
            <w:tcW w:w="270" w:type="pct"/>
            <w:vAlign w:val="center"/>
          </w:tcPr>
          <w:p>
            <w:pPr>
              <w:spacing w:line="360" w:lineRule="auto"/>
              <w:ind w:leftChars="-1" w:right="-82" w:hanging="2" w:hangingChars="1"/>
              <w:rPr>
                <w:rFonts w:ascii="宋体"/>
                <w:sz w:val="24"/>
                <w:szCs w:val="24"/>
              </w:rPr>
            </w:pPr>
            <w:r>
              <w:rPr>
                <w:rFonts w:hint="eastAsia" w:ascii="宋体" w:hAnsi="宋体"/>
                <w:sz w:val="24"/>
                <w:szCs w:val="24"/>
              </w:rPr>
              <w:t>踏勘现场</w:t>
            </w:r>
          </w:p>
        </w:tc>
        <w:tc>
          <w:tcPr>
            <w:tcW w:w="3314" w:type="pct"/>
            <w:vAlign w:val="center"/>
          </w:tcPr>
          <w:p>
            <w:pPr>
              <w:spacing w:line="360" w:lineRule="auto"/>
              <w:rPr>
                <w:rFonts w:ascii="Times New Roman" w:hAnsi="Times New Roman"/>
                <w:color w:val="FF0000"/>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22年11月4日</w:t>
            </w:r>
            <w:r>
              <w:rPr>
                <w:rFonts w:ascii="宋体" w:hAnsi="宋体"/>
                <w:sz w:val="24"/>
                <w:szCs w:val="24"/>
              </w:rPr>
              <w:t>9</w:t>
            </w:r>
            <w:r>
              <w:rPr>
                <w:rFonts w:hint="eastAsia" w:ascii="宋体" w:hAnsi="宋体" w:cs="Arial"/>
                <w:sz w:val="24"/>
                <w:szCs w:val="24"/>
              </w:rPr>
              <w:t>时</w:t>
            </w:r>
            <w:r>
              <w:rPr>
                <w:rFonts w:hint="eastAsia" w:ascii="宋体" w:cs="Arial"/>
                <w:sz w:val="24"/>
                <w:szCs w:val="24"/>
              </w:rPr>
              <w:t>3</w:t>
            </w:r>
            <w:r>
              <w:rPr>
                <w:rFonts w:ascii="宋体" w:cs="Arial"/>
                <w:sz w:val="24"/>
                <w:szCs w:val="24"/>
              </w:rPr>
              <w:t>0</w:t>
            </w:r>
            <w:r>
              <w:rPr>
                <w:rFonts w:hint="eastAsia" w:ascii="宋体" w:hAnsi="宋体" w:cs="Arial"/>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 xml:space="preserve">联系人：武威男 </w:t>
            </w:r>
          </w:p>
          <w:p>
            <w:pPr>
              <w:spacing w:line="360" w:lineRule="auto"/>
              <w:ind w:leftChars="-1" w:right="-82" w:hanging="2" w:hangingChars="1"/>
              <w:rPr>
                <w:rFonts w:ascii="宋体"/>
                <w:sz w:val="24"/>
                <w:szCs w:val="24"/>
              </w:rPr>
            </w:pPr>
            <w:r>
              <w:rPr>
                <w:rFonts w:hint="eastAsia" w:ascii="宋体" w:hAnsi="宋体"/>
                <w:sz w:val="24"/>
                <w:szCs w:val="24"/>
              </w:rPr>
              <w:t>电话：15650569826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284" w:type="pct"/>
            <w:vMerge w:val="continue"/>
            <w:vAlign w:val="center"/>
          </w:tcPr>
          <w:p>
            <w:pPr>
              <w:spacing w:line="360" w:lineRule="auto"/>
              <w:ind w:leftChars="-1" w:right="-82" w:hanging="2" w:hangingChars="1"/>
              <w:rPr>
                <w:rFonts w:ascii="宋体"/>
                <w:sz w:val="24"/>
                <w:szCs w:val="24"/>
              </w:rPr>
            </w:pPr>
          </w:p>
        </w:tc>
        <w:tc>
          <w:tcPr>
            <w:tcW w:w="659" w:type="pct"/>
            <w:vMerge w:val="continue"/>
            <w:vAlign w:val="center"/>
          </w:tcPr>
          <w:p>
            <w:pPr>
              <w:spacing w:line="360" w:lineRule="auto"/>
              <w:ind w:leftChars="-1" w:right="-82" w:hanging="2" w:hangingChars="1"/>
              <w:rPr>
                <w:rFonts w:ascii="宋体"/>
                <w:sz w:val="24"/>
                <w:szCs w:val="24"/>
              </w:rPr>
            </w:pPr>
          </w:p>
        </w:tc>
        <w:tc>
          <w:tcPr>
            <w:tcW w:w="470" w:type="pct"/>
            <w:vMerge w:val="continue"/>
            <w:vAlign w:val="center"/>
          </w:tcPr>
          <w:p>
            <w:pPr>
              <w:spacing w:line="360" w:lineRule="auto"/>
              <w:ind w:leftChars="-1" w:right="-82" w:hanging="2" w:hangingChars="1"/>
              <w:rPr>
                <w:rFonts w:ascii="宋体"/>
                <w:sz w:val="24"/>
                <w:szCs w:val="24"/>
              </w:rPr>
            </w:pPr>
          </w:p>
        </w:tc>
        <w:tc>
          <w:tcPr>
            <w:tcW w:w="270" w:type="pct"/>
            <w:vAlign w:val="center"/>
          </w:tcPr>
          <w:p>
            <w:pPr>
              <w:spacing w:line="360" w:lineRule="auto"/>
              <w:ind w:leftChars="-1" w:right="-82" w:hanging="2" w:hangingChars="1"/>
              <w:rPr>
                <w:rFonts w:ascii="宋体"/>
                <w:sz w:val="24"/>
                <w:szCs w:val="24"/>
              </w:rPr>
            </w:pPr>
            <w:r>
              <w:rPr>
                <w:rFonts w:hint="eastAsia" w:ascii="宋体" w:hAnsi="宋体"/>
                <w:sz w:val="24"/>
                <w:szCs w:val="24"/>
              </w:rPr>
              <w:t>答疑</w:t>
            </w:r>
          </w:p>
        </w:tc>
        <w:tc>
          <w:tcPr>
            <w:tcW w:w="3314"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22年11月5日9时</w:t>
            </w:r>
            <w:r>
              <w:rPr>
                <w:rFonts w:hint="eastAsia" w:ascii="宋体"/>
                <w:sz w:val="24"/>
                <w:szCs w:val="24"/>
              </w:rPr>
              <w:t>0</w:t>
            </w:r>
            <w:r>
              <w:rPr>
                <w:rFonts w:ascii="宋体"/>
                <w:sz w:val="24"/>
                <w:szCs w:val="24"/>
              </w:rPr>
              <w:t>0</w:t>
            </w:r>
            <w:r>
              <w:rPr>
                <w:rFonts w:hint="eastAsia" w:ascii="宋体" w:hAnsi="宋体"/>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方式：电子邮件</w:t>
            </w:r>
            <w:r>
              <w:rPr>
                <w:rFonts w:ascii="宋体" w:hAnsi="宋体"/>
                <w:sz w:val="24"/>
                <w:szCs w:val="24"/>
              </w:rPr>
              <w:t xml:space="preserve">   </w:t>
            </w:r>
            <w:r>
              <w:rPr>
                <w:rFonts w:hint="eastAsia" w:ascii="宋体" w:hAnsi="宋体"/>
                <w:sz w:val="24"/>
                <w:szCs w:val="24"/>
              </w:rPr>
              <w:t>邮箱：</w:t>
            </w:r>
            <w:r>
              <w:rPr>
                <w:rFonts w:ascii="宋体" w:hAnsi="宋体"/>
                <w:sz w:val="24"/>
                <w:szCs w:val="24"/>
              </w:rPr>
              <w:t>lhzsxiangmuban@163.com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84" w:type="pct"/>
            <w:vMerge w:val="continue"/>
            <w:vAlign w:val="center"/>
          </w:tcPr>
          <w:p>
            <w:pPr>
              <w:spacing w:line="360" w:lineRule="auto"/>
              <w:ind w:leftChars="-1" w:right="-82" w:hanging="2" w:hangingChars="1"/>
              <w:rPr>
                <w:rFonts w:ascii="宋体"/>
                <w:sz w:val="24"/>
                <w:szCs w:val="24"/>
              </w:rPr>
            </w:pPr>
          </w:p>
        </w:tc>
        <w:tc>
          <w:tcPr>
            <w:tcW w:w="659" w:type="pct"/>
            <w:vMerge w:val="continue"/>
            <w:vAlign w:val="center"/>
          </w:tcPr>
          <w:p>
            <w:pPr>
              <w:spacing w:line="360" w:lineRule="auto"/>
              <w:ind w:leftChars="-1" w:right="-82" w:hanging="2" w:hangingChars="1"/>
              <w:rPr>
                <w:rFonts w:ascii="宋体"/>
                <w:sz w:val="24"/>
                <w:szCs w:val="24"/>
              </w:rPr>
            </w:pPr>
          </w:p>
        </w:tc>
        <w:tc>
          <w:tcPr>
            <w:tcW w:w="470" w:type="pct"/>
            <w:vMerge w:val="continue"/>
            <w:vAlign w:val="center"/>
          </w:tcPr>
          <w:p>
            <w:pPr>
              <w:spacing w:line="360" w:lineRule="auto"/>
              <w:ind w:leftChars="-1" w:right="-82" w:hanging="2" w:hangingChars="1"/>
              <w:rPr>
                <w:rFonts w:ascii="宋体"/>
                <w:sz w:val="24"/>
                <w:szCs w:val="24"/>
              </w:rPr>
            </w:pPr>
          </w:p>
        </w:tc>
        <w:tc>
          <w:tcPr>
            <w:tcW w:w="270" w:type="pct"/>
            <w:vAlign w:val="center"/>
          </w:tcPr>
          <w:p>
            <w:pPr>
              <w:spacing w:line="360" w:lineRule="auto"/>
              <w:ind w:leftChars="-1" w:right="-82" w:hanging="2" w:hangingChars="1"/>
              <w:rPr>
                <w:rFonts w:ascii="宋体"/>
                <w:sz w:val="24"/>
                <w:szCs w:val="24"/>
              </w:rPr>
            </w:pPr>
            <w:r>
              <w:rPr>
                <w:rFonts w:hint="eastAsia" w:ascii="宋体" w:hAnsi="宋体"/>
                <w:sz w:val="24"/>
                <w:szCs w:val="24"/>
              </w:rPr>
              <w:t>开</w:t>
            </w:r>
          </w:p>
          <w:p>
            <w:pPr>
              <w:spacing w:line="360" w:lineRule="auto"/>
              <w:ind w:leftChars="-1" w:right="-82" w:hanging="2" w:hangingChars="1"/>
              <w:rPr>
                <w:rFonts w:ascii="宋体"/>
                <w:sz w:val="24"/>
                <w:szCs w:val="24"/>
              </w:rPr>
            </w:pPr>
            <w:r>
              <w:rPr>
                <w:rFonts w:hint="eastAsia" w:ascii="宋体" w:hAnsi="宋体"/>
                <w:sz w:val="24"/>
                <w:szCs w:val="24"/>
              </w:rPr>
              <w:t>标</w:t>
            </w:r>
          </w:p>
        </w:tc>
        <w:tc>
          <w:tcPr>
            <w:tcW w:w="3314" w:type="pct"/>
            <w:vAlign w:val="center"/>
          </w:tcPr>
          <w:p>
            <w:pPr>
              <w:spacing w:line="360" w:lineRule="auto"/>
              <w:ind w:leftChars="-1" w:right="-82" w:hanging="2" w:hangingChars="1"/>
              <w:rPr>
                <w:rFonts w:ascii="宋体"/>
                <w:sz w:val="24"/>
                <w:szCs w:val="24"/>
              </w:rPr>
            </w:pPr>
            <w:r>
              <w:rPr>
                <w:rFonts w:hint="eastAsia" w:ascii="宋体" w:hAnsi="宋体"/>
                <w:sz w:val="24"/>
                <w:szCs w:val="24"/>
              </w:rPr>
              <w:t>时间：</w:t>
            </w:r>
            <w:r>
              <w:rPr>
                <w:rFonts w:ascii="宋体" w:hAnsi="宋体"/>
                <w:sz w:val="24"/>
                <w:szCs w:val="24"/>
              </w:rPr>
              <w:t>20</w:t>
            </w:r>
            <w:r>
              <w:rPr>
                <w:rFonts w:hint="eastAsia" w:ascii="宋体" w:hAnsi="宋体"/>
                <w:sz w:val="24"/>
                <w:szCs w:val="24"/>
              </w:rPr>
              <w:t>22年11月8日9时3</w:t>
            </w:r>
            <w:r>
              <w:rPr>
                <w:rFonts w:ascii="宋体"/>
                <w:sz w:val="24"/>
                <w:szCs w:val="24"/>
              </w:rPr>
              <w:t>0</w:t>
            </w:r>
            <w:r>
              <w:rPr>
                <w:rFonts w:hint="eastAsia" w:ascii="宋体" w:hAnsi="宋体"/>
                <w:sz w:val="24"/>
                <w:szCs w:val="24"/>
              </w:rPr>
              <w:t>分</w:t>
            </w:r>
          </w:p>
          <w:p>
            <w:pPr>
              <w:spacing w:line="360" w:lineRule="auto"/>
              <w:ind w:leftChars="-1" w:right="-82" w:hanging="2" w:hangingChars="1"/>
              <w:rPr>
                <w:rFonts w:ascii="宋体"/>
                <w:sz w:val="24"/>
                <w:szCs w:val="24"/>
              </w:rPr>
            </w:pPr>
            <w:r>
              <w:rPr>
                <w:rFonts w:hint="eastAsia" w:ascii="宋体" w:hAnsi="宋体"/>
                <w:sz w:val="24"/>
                <w:szCs w:val="24"/>
              </w:rPr>
              <w:t>方式：不公开开标</w:t>
            </w:r>
          </w:p>
          <w:p>
            <w:pPr>
              <w:spacing w:line="360" w:lineRule="auto"/>
              <w:ind w:leftChars="-1" w:right="-82" w:hanging="2" w:hangingChars="1"/>
              <w:rPr>
                <w:rFonts w:ascii="宋体"/>
                <w:sz w:val="24"/>
                <w:szCs w:val="24"/>
              </w:rPr>
            </w:pPr>
            <w:r>
              <w:rPr>
                <w:rFonts w:hint="eastAsia" w:ascii="宋体" w:hAnsi="宋体"/>
                <w:sz w:val="24"/>
                <w:szCs w:val="24"/>
              </w:rPr>
              <w:t>地点：</w:t>
            </w:r>
            <w:r>
              <w:rPr>
                <w:rFonts w:hint="eastAsia" w:ascii="Times New Roman" w:hAnsi="Times New Roman"/>
                <w:sz w:val="24"/>
                <w:szCs w:val="24"/>
              </w:rPr>
              <w:t>鑫广绿环再生资源股份有限公司</w:t>
            </w:r>
            <w:r>
              <w:rPr>
                <w:rFonts w:hint="eastAsia" w:ascii="宋体" w:hAnsi="宋体"/>
                <w:sz w:val="24"/>
                <w:szCs w:val="24"/>
              </w:rPr>
              <w:t>办公楼</w:t>
            </w:r>
            <w:r>
              <w:rPr>
                <w:rFonts w:hint="eastAsia" w:ascii="Times New Roman" w:hAnsi="Times New Roman"/>
                <w:sz w:val="24"/>
                <w:szCs w:val="24"/>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3</w:t>
            </w:r>
          </w:p>
        </w:tc>
        <w:tc>
          <w:tcPr>
            <w:tcW w:w="659" w:type="pct"/>
            <w:vAlign w:val="center"/>
          </w:tcPr>
          <w:p>
            <w:pPr>
              <w:spacing w:line="360" w:lineRule="auto"/>
              <w:ind w:leftChars="-1" w:right="-82" w:hanging="2" w:hangingChars="1"/>
              <w:rPr>
                <w:rFonts w:ascii="宋体"/>
                <w:sz w:val="24"/>
                <w:szCs w:val="24"/>
              </w:rPr>
            </w:pPr>
            <w:bookmarkStart w:id="29" w:name="_Toc232928693"/>
            <w:r>
              <w:rPr>
                <w:rFonts w:ascii="宋体" w:hAnsi="宋体"/>
                <w:sz w:val="24"/>
                <w:szCs w:val="24"/>
              </w:rPr>
              <w:t>3.1</w:t>
            </w:r>
            <w:bookmarkEnd w:id="29"/>
          </w:p>
        </w:tc>
        <w:tc>
          <w:tcPr>
            <w:tcW w:w="4055"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投标有效期：投标截止日后8</w:t>
            </w:r>
            <w:r>
              <w:rPr>
                <w:rFonts w:ascii="宋体" w:hAnsi="宋体"/>
                <w:sz w:val="24"/>
                <w:szCs w:val="24"/>
              </w:rPr>
              <w:t>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4</w:t>
            </w:r>
          </w:p>
        </w:tc>
        <w:tc>
          <w:tcPr>
            <w:tcW w:w="659" w:type="pct"/>
            <w:vAlign w:val="center"/>
          </w:tcPr>
          <w:p>
            <w:pPr>
              <w:spacing w:line="360" w:lineRule="auto"/>
              <w:ind w:leftChars="-1" w:right="-82" w:hanging="2" w:hangingChars="1"/>
              <w:rPr>
                <w:rFonts w:ascii="宋体"/>
                <w:sz w:val="24"/>
                <w:szCs w:val="24"/>
              </w:rPr>
            </w:pPr>
            <w:bookmarkStart w:id="30" w:name="_Toc232928695"/>
            <w:r>
              <w:rPr>
                <w:rFonts w:ascii="宋体" w:hAnsi="宋体"/>
                <w:sz w:val="24"/>
                <w:szCs w:val="24"/>
              </w:rPr>
              <w:t>4.1</w:t>
            </w:r>
            <w:bookmarkEnd w:id="30"/>
          </w:p>
        </w:tc>
        <w:tc>
          <w:tcPr>
            <w:tcW w:w="4055"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4" w:type="pct"/>
            <w:vAlign w:val="center"/>
          </w:tcPr>
          <w:p>
            <w:pPr>
              <w:spacing w:line="360" w:lineRule="auto"/>
              <w:ind w:leftChars="-1" w:right="-82" w:hanging="2" w:hangingChars="1"/>
              <w:rPr>
                <w:rFonts w:ascii="宋体"/>
                <w:sz w:val="24"/>
                <w:szCs w:val="24"/>
              </w:rPr>
            </w:pPr>
            <w:r>
              <w:rPr>
                <w:rFonts w:ascii="宋体"/>
                <w:sz w:val="24"/>
                <w:szCs w:val="24"/>
              </w:rPr>
              <w:t>5</w:t>
            </w:r>
          </w:p>
        </w:tc>
        <w:tc>
          <w:tcPr>
            <w:tcW w:w="659" w:type="pct"/>
            <w:vAlign w:val="center"/>
          </w:tcPr>
          <w:p>
            <w:pPr>
              <w:spacing w:line="360" w:lineRule="auto"/>
              <w:ind w:leftChars="-1" w:right="-82" w:hanging="2" w:hangingChars="1"/>
              <w:rPr>
                <w:rFonts w:ascii="宋体"/>
                <w:sz w:val="24"/>
                <w:szCs w:val="24"/>
              </w:rPr>
            </w:pPr>
            <w:bookmarkStart w:id="31" w:name="_Toc232928697"/>
            <w:r>
              <w:rPr>
                <w:rFonts w:ascii="宋体" w:hAnsi="宋体"/>
                <w:sz w:val="24"/>
                <w:szCs w:val="24"/>
              </w:rPr>
              <w:t>5.1</w:t>
            </w:r>
            <w:bookmarkEnd w:id="31"/>
          </w:p>
        </w:tc>
        <w:tc>
          <w:tcPr>
            <w:tcW w:w="4055"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投标保证金额：无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4" w:type="pct"/>
            <w:vAlign w:val="center"/>
          </w:tcPr>
          <w:p>
            <w:pPr>
              <w:spacing w:line="360" w:lineRule="auto"/>
              <w:ind w:leftChars="-1" w:right="-82" w:hanging="2" w:hangingChars="1"/>
              <w:rPr>
                <w:rFonts w:ascii="宋体"/>
                <w:sz w:val="24"/>
                <w:szCs w:val="24"/>
              </w:rPr>
            </w:pPr>
            <w:r>
              <w:rPr>
                <w:rFonts w:ascii="宋体" w:hAnsi="宋体"/>
                <w:sz w:val="24"/>
                <w:szCs w:val="24"/>
              </w:rPr>
              <w:t>6</w:t>
            </w:r>
          </w:p>
        </w:tc>
        <w:tc>
          <w:tcPr>
            <w:tcW w:w="659" w:type="pct"/>
            <w:vAlign w:val="center"/>
          </w:tcPr>
          <w:p>
            <w:pPr>
              <w:spacing w:line="360" w:lineRule="auto"/>
              <w:ind w:leftChars="-1" w:right="-82" w:hanging="2" w:hangingChars="1"/>
              <w:rPr>
                <w:rFonts w:ascii="宋体"/>
                <w:sz w:val="24"/>
                <w:szCs w:val="24"/>
              </w:rPr>
            </w:pPr>
            <w:bookmarkStart w:id="32" w:name="_Toc232928699"/>
            <w:r>
              <w:rPr>
                <w:rFonts w:ascii="宋体" w:hAnsi="宋体"/>
                <w:sz w:val="24"/>
                <w:szCs w:val="24"/>
              </w:rPr>
              <w:t>6.1</w:t>
            </w:r>
            <w:bookmarkEnd w:id="32"/>
          </w:p>
        </w:tc>
        <w:tc>
          <w:tcPr>
            <w:tcW w:w="4055" w:type="pct"/>
            <w:gridSpan w:val="3"/>
            <w:vAlign w:val="center"/>
          </w:tcPr>
          <w:p>
            <w:pPr>
              <w:spacing w:line="360" w:lineRule="auto"/>
              <w:ind w:leftChars="-1" w:right="-82" w:hanging="2" w:hangingChars="1"/>
              <w:rPr>
                <w:rFonts w:ascii="宋体"/>
                <w:sz w:val="24"/>
                <w:szCs w:val="24"/>
              </w:rPr>
            </w:pPr>
            <w:r>
              <w:rPr>
                <w:rFonts w:hint="eastAsia" w:ascii="宋体" w:hAnsi="宋体"/>
                <w:sz w:val="24"/>
                <w:szCs w:val="24"/>
              </w:rPr>
              <w:t>投标文件份数：正本</w:t>
            </w:r>
            <w:r>
              <w:rPr>
                <w:rFonts w:ascii="宋体" w:hAnsi="宋体"/>
                <w:sz w:val="24"/>
                <w:szCs w:val="24"/>
              </w:rPr>
              <w:t xml:space="preserve"> 1</w:t>
            </w:r>
            <w:r>
              <w:rPr>
                <w:rFonts w:hint="eastAsia" w:ascii="宋体" w:hAnsi="宋体"/>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84" w:type="pct"/>
            <w:vMerge w:val="restart"/>
            <w:vAlign w:val="center"/>
          </w:tcPr>
          <w:p>
            <w:pPr>
              <w:spacing w:line="360" w:lineRule="auto"/>
              <w:ind w:right="-82"/>
              <w:rPr>
                <w:rFonts w:ascii="宋体"/>
                <w:sz w:val="24"/>
                <w:szCs w:val="24"/>
              </w:rPr>
            </w:pPr>
            <w:r>
              <w:rPr>
                <w:rFonts w:ascii="宋体" w:hAnsi="宋体"/>
                <w:sz w:val="24"/>
                <w:szCs w:val="24"/>
              </w:rPr>
              <w:t>7</w:t>
            </w:r>
          </w:p>
        </w:tc>
        <w:tc>
          <w:tcPr>
            <w:tcW w:w="659" w:type="pct"/>
            <w:vMerge w:val="restart"/>
            <w:vAlign w:val="center"/>
          </w:tcPr>
          <w:p>
            <w:pPr>
              <w:spacing w:line="360" w:lineRule="auto"/>
              <w:ind w:right="-82"/>
              <w:rPr>
                <w:rFonts w:ascii="宋体"/>
                <w:sz w:val="24"/>
                <w:szCs w:val="24"/>
              </w:rPr>
            </w:pPr>
            <w:bookmarkStart w:id="33" w:name="_Toc232928701"/>
            <w:r>
              <w:rPr>
                <w:rFonts w:ascii="宋体" w:hAnsi="宋体"/>
                <w:sz w:val="24"/>
                <w:szCs w:val="24"/>
              </w:rPr>
              <w:t>7</w:t>
            </w:r>
            <w:r>
              <w:rPr>
                <w:rFonts w:ascii="宋体"/>
                <w:sz w:val="24"/>
                <w:szCs w:val="24"/>
              </w:rPr>
              <w:t>.</w:t>
            </w:r>
            <w:bookmarkEnd w:id="33"/>
            <w:r>
              <w:rPr>
                <w:rFonts w:ascii="宋体" w:hAnsi="宋体"/>
                <w:sz w:val="24"/>
                <w:szCs w:val="24"/>
              </w:rPr>
              <w:t>1</w:t>
            </w:r>
          </w:p>
          <w:p>
            <w:pPr>
              <w:spacing w:line="360" w:lineRule="auto"/>
              <w:ind w:right="-82"/>
              <w:rPr>
                <w:rFonts w:ascii="宋体"/>
                <w:sz w:val="24"/>
                <w:szCs w:val="24"/>
              </w:rPr>
            </w:pPr>
            <w:r>
              <w:rPr>
                <w:rFonts w:hint="eastAsia" w:ascii="宋体" w:hAnsi="宋体"/>
                <w:sz w:val="24"/>
                <w:szCs w:val="24"/>
              </w:rPr>
              <w:t>至</w:t>
            </w:r>
          </w:p>
          <w:p>
            <w:pPr>
              <w:spacing w:line="360" w:lineRule="auto"/>
              <w:ind w:right="-82"/>
              <w:rPr>
                <w:rFonts w:ascii="宋体"/>
                <w:sz w:val="24"/>
                <w:szCs w:val="24"/>
              </w:rPr>
            </w:pPr>
            <w:r>
              <w:rPr>
                <w:rFonts w:ascii="宋体" w:hAnsi="宋体"/>
                <w:sz w:val="24"/>
                <w:szCs w:val="24"/>
              </w:rPr>
              <w:t>7.5</w:t>
            </w:r>
          </w:p>
        </w:tc>
        <w:tc>
          <w:tcPr>
            <w:tcW w:w="470" w:type="pct"/>
            <w:vMerge w:val="restart"/>
            <w:vAlign w:val="center"/>
          </w:tcPr>
          <w:p>
            <w:pPr>
              <w:spacing w:line="360" w:lineRule="auto"/>
              <w:ind w:right="-82" w:firstLine="240" w:firstLineChars="100"/>
              <w:rPr>
                <w:rFonts w:ascii="宋体" w:hAnsi="宋体"/>
                <w:sz w:val="24"/>
                <w:szCs w:val="24"/>
              </w:rPr>
            </w:pPr>
          </w:p>
          <w:p>
            <w:pPr>
              <w:spacing w:line="360" w:lineRule="auto"/>
              <w:ind w:right="-82" w:firstLine="240" w:firstLineChars="100"/>
              <w:rPr>
                <w:rFonts w:ascii="宋体" w:hAnsi="宋体"/>
                <w:sz w:val="24"/>
                <w:szCs w:val="24"/>
              </w:rPr>
            </w:pPr>
            <w:r>
              <w:rPr>
                <w:rFonts w:hint="eastAsia" w:ascii="宋体" w:hAnsi="宋体"/>
                <w:sz w:val="24"/>
                <w:szCs w:val="24"/>
              </w:rPr>
              <w:t>投</w:t>
            </w:r>
          </w:p>
          <w:p>
            <w:pPr>
              <w:spacing w:line="360" w:lineRule="auto"/>
              <w:ind w:right="-82" w:firstLine="240" w:firstLineChars="100"/>
              <w:rPr>
                <w:rFonts w:ascii="宋体" w:hAnsi="宋体"/>
                <w:sz w:val="24"/>
                <w:szCs w:val="24"/>
              </w:rPr>
            </w:pPr>
            <w:r>
              <w:rPr>
                <w:rFonts w:hint="eastAsia" w:ascii="宋体" w:hAnsi="宋体"/>
                <w:sz w:val="24"/>
                <w:szCs w:val="24"/>
              </w:rPr>
              <w:t>标</w:t>
            </w:r>
          </w:p>
          <w:p>
            <w:pPr>
              <w:spacing w:line="360" w:lineRule="auto"/>
              <w:ind w:right="-82" w:firstLine="240" w:firstLineChars="100"/>
              <w:rPr>
                <w:rFonts w:ascii="宋体" w:hAnsi="宋体"/>
                <w:sz w:val="24"/>
                <w:szCs w:val="24"/>
              </w:rPr>
            </w:pPr>
            <w:r>
              <w:rPr>
                <w:rFonts w:hint="eastAsia" w:ascii="宋体" w:hAnsi="宋体"/>
                <w:sz w:val="24"/>
                <w:szCs w:val="24"/>
              </w:rPr>
              <w:t>文</w:t>
            </w:r>
          </w:p>
          <w:p>
            <w:pPr>
              <w:spacing w:line="360" w:lineRule="auto"/>
              <w:ind w:right="-82" w:firstLine="240" w:firstLineChars="100"/>
              <w:rPr>
                <w:rFonts w:ascii="宋体" w:hAnsi="宋体"/>
                <w:sz w:val="24"/>
                <w:szCs w:val="24"/>
              </w:rPr>
            </w:pPr>
            <w:r>
              <w:rPr>
                <w:rFonts w:hint="eastAsia" w:ascii="宋体" w:hAnsi="宋体"/>
                <w:sz w:val="24"/>
                <w:szCs w:val="24"/>
              </w:rPr>
              <w:t>件</w:t>
            </w:r>
          </w:p>
          <w:p>
            <w:pPr>
              <w:spacing w:line="360" w:lineRule="auto"/>
              <w:ind w:right="-82" w:firstLine="240" w:firstLineChars="100"/>
              <w:rPr>
                <w:rFonts w:ascii="宋体" w:hAnsi="宋体"/>
                <w:sz w:val="24"/>
                <w:szCs w:val="24"/>
              </w:rPr>
            </w:pPr>
            <w:r>
              <w:rPr>
                <w:rFonts w:hint="eastAsia" w:ascii="宋体" w:hAnsi="宋体"/>
                <w:sz w:val="24"/>
                <w:szCs w:val="24"/>
              </w:rPr>
              <w:t>递</w:t>
            </w:r>
          </w:p>
          <w:p>
            <w:pPr>
              <w:spacing w:line="360" w:lineRule="auto"/>
              <w:ind w:right="-82" w:firstLine="240" w:firstLineChars="100"/>
              <w:rPr>
                <w:rFonts w:ascii="宋体"/>
                <w:sz w:val="24"/>
                <w:szCs w:val="24"/>
              </w:rPr>
            </w:pPr>
            <w:r>
              <w:rPr>
                <w:rFonts w:hint="eastAsia" w:ascii="宋体" w:hAnsi="宋体"/>
                <w:sz w:val="24"/>
                <w:szCs w:val="24"/>
              </w:rPr>
              <w:t>交</w:t>
            </w:r>
          </w:p>
          <w:p>
            <w:pPr>
              <w:spacing w:line="360" w:lineRule="auto"/>
              <w:ind w:right="-82" w:firstLine="480" w:firstLineChars="200"/>
              <w:rPr>
                <w:rFonts w:ascii="宋体"/>
                <w:sz w:val="24"/>
                <w:szCs w:val="24"/>
              </w:rPr>
            </w:pPr>
          </w:p>
        </w:tc>
        <w:tc>
          <w:tcPr>
            <w:tcW w:w="3584" w:type="pct"/>
            <w:gridSpan w:val="2"/>
            <w:vAlign w:val="center"/>
          </w:tcPr>
          <w:p>
            <w:pPr>
              <w:spacing w:line="360" w:lineRule="auto"/>
              <w:ind w:right="-82"/>
              <w:rPr>
                <w:rFonts w:ascii="宋体"/>
                <w:sz w:val="24"/>
                <w:szCs w:val="24"/>
              </w:rPr>
            </w:pPr>
            <w:r>
              <w:rPr>
                <w:rFonts w:hint="eastAsia" w:ascii="宋体" w:hAnsi="宋体"/>
                <w:sz w:val="24"/>
                <w:szCs w:val="24"/>
              </w:rPr>
              <w:t>地点：鑫广绿环再生资源股份有限公司办公楼审计部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659" w:type="pct"/>
            <w:vMerge w:val="continue"/>
            <w:vAlign w:val="center"/>
          </w:tcPr>
          <w:p>
            <w:pPr>
              <w:spacing w:line="360" w:lineRule="auto"/>
              <w:ind w:right="-82" w:firstLine="480" w:firstLineChars="200"/>
              <w:rPr>
                <w:rFonts w:ascii="宋体"/>
                <w:sz w:val="24"/>
                <w:szCs w:val="24"/>
              </w:rPr>
            </w:pPr>
          </w:p>
        </w:tc>
        <w:tc>
          <w:tcPr>
            <w:tcW w:w="470" w:type="pct"/>
            <w:vMerge w:val="continue"/>
            <w:vAlign w:val="center"/>
          </w:tcPr>
          <w:p>
            <w:pPr>
              <w:spacing w:line="360" w:lineRule="auto"/>
              <w:ind w:right="-82" w:firstLine="480" w:firstLineChars="200"/>
              <w:rPr>
                <w:rFonts w:ascii="宋体"/>
                <w:sz w:val="24"/>
                <w:szCs w:val="24"/>
              </w:rPr>
            </w:pPr>
          </w:p>
        </w:tc>
        <w:tc>
          <w:tcPr>
            <w:tcW w:w="3584" w:type="pct"/>
            <w:gridSpan w:val="2"/>
            <w:vAlign w:val="center"/>
          </w:tcPr>
          <w:p>
            <w:pPr>
              <w:spacing w:line="360" w:lineRule="auto"/>
              <w:ind w:left="1200" w:right="-82" w:hanging="1200" w:hangingChars="500"/>
              <w:rPr>
                <w:rFonts w:ascii="宋体"/>
                <w:sz w:val="24"/>
                <w:szCs w:val="24"/>
              </w:rPr>
            </w:pPr>
            <w:r>
              <w:rPr>
                <w:rFonts w:hint="eastAsia" w:ascii="宋体" w:hAnsi="宋体"/>
                <w:sz w:val="24"/>
                <w:szCs w:val="24"/>
              </w:rPr>
              <w:t>快递地址：烟台市开发区开封路</w:t>
            </w:r>
            <w:r>
              <w:rPr>
                <w:rFonts w:ascii="宋体" w:hAnsi="宋体"/>
                <w:sz w:val="24"/>
                <w:szCs w:val="24"/>
              </w:rPr>
              <w:t>8</w:t>
            </w:r>
            <w:r>
              <w:rPr>
                <w:rFonts w:hint="eastAsia" w:ascii="宋体" w:hAnsi="宋体"/>
                <w:sz w:val="24"/>
                <w:szCs w:val="24"/>
              </w:rPr>
              <w:t>号鑫广绿环再生资源股份有限公司审计部收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659" w:type="pct"/>
            <w:vMerge w:val="continue"/>
            <w:vAlign w:val="center"/>
          </w:tcPr>
          <w:p>
            <w:pPr>
              <w:spacing w:line="360" w:lineRule="auto"/>
              <w:ind w:right="-82" w:firstLine="480" w:firstLineChars="200"/>
              <w:rPr>
                <w:rFonts w:ascii="宋体"/>
                <w:sz w:val="24"/>
                <w:szCs w:val="24"/>
              </w:rPr>
            </w:pPr>
          </w:p>
        </w:tc>
        <w:tc>
          <w:tcPr>
            <w:tcW w:w="470" w:type="pct"/>
            <w:vMerge w:val="continue"/>
            <w:vAlign w:val="center"/>
          </w:tcPr>
          <w:p>
            <w:pPr>
              <w:spacing w:line="360" w:lineRule="auto"/>
              <w:ind w:right="-82" w:firstLine="480" w:firstLineChars="200"/>
              <w:rPr>
                <w:rFonts w:ascii="宋体"/>
                <w:sz w:val="24"/>
                <w:szCs w:val="24"/>
              </w:rPr>
            </w:pPr>
          </w:p>
        </w:tc>
        <w:tc>
          <w:tcPr>
            <w:tcW w:w="3584" w:type="pct"/>
            <w:gridSpan w:val="2"/>
            <w:vAlign w:val="center"/>
          </w:tcPr>
          <w:p>
            <w:pPr>
              <w:spacing w:line="360" w:lineRule="auto"/>
              <w:ind w:right="-82"/>
              <w:jc w:val="left"/>
              <w:rPr>
                <w:rFonts w:ascii="宋体"/>
                <w:sz w:val="24"/>
                <w:szCs w:val="24"/>
              </w:rPr>
            </w:pPr>
            <w:bookmarkStart w:id="34" w:name="_Toc232928702"/>
            <w:r>
              <w:rPr>
                <w:rFonts w:hint="eastAsia" w:ascii="宋体" w:hAnsi="宋体"/>
                <w:sz w:val="24"/>
                <w:szCs w:val="24"/>
              </w:rPr>
              <w:t>联系人：</w:t>
            </w:r>
            <w:bookmarkEnd w:id="34"/>
            <w:r>
              <w:rPr>
                <w:rFonts w:hint="eastAsia" w:ascii="宋体" w:hAnsi="宋体"/>
                <w:sz w:val="24"/>
                <w:szCs w:val="24"/>
              </w:rPr>
              <w:t>李佳欣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659" w:type="pct"/>
            <w:vMerge w:val="continue"/>
            <w:vAlign w:val="center"/>
          </w:tcPr>
          <w:p>
            <w:pPr>
              <w:spacing w:line="360" w:lineRule="auto"/>
              <w:ind w:right="-82" w:firstLine="480" w:firstLineChars="200"/>
              <w:rPr>
                <w:rFonts w:ascii="宋体"/>
                <w:sz w:val="24"/>
                <w:szCs w:val="24"/>
              </w:rPr>
            </w:pPr>
          </w:p>
        </w:tc>
        <w:tc>
          <w:tcPr>
            <w:tcW w:w="470" w:type="pct"/>
            <w:vMerge w:val="continue"/>
            <w:vAlign w:val="center"/>
          </w:tcPr>
          <w:p>
            <w:pPr>
              <w:spacing w:line="360" w:lineRule="auto"/>
              <w:ind w:right="-82" w:firstLine="480" w:firstLineChars="200"/>
              <w:rPr>
                <w:rFonts w:ascii="宋体"/>
                <w:sz w:val="24"/>
                <w:szCs w:val="24"/>
              </w:rPr>
            </w:pPr>
          </w:p>
        </w:tc>
        <w:tc>
          <w:tcPr>
            <w:tcW w:w="3584" w:type="pct"/>
            <w:gridSpan w:val="2"/>
            <w:vAlign w:val="center"/>
          </w:tcPr>
          <w:p>
            <w:pPr>
              <w:spacing w:line="360" w:lineRule="auto"/>
              <w:ind w:right="-82"/>
              <w:rPr>
                <w:rFonts w:ascii="宋体"/>
                <w:sz w:val="24"/>
                <w:szCs w:val="24"/>
              </w:rPr>
            </w:pPr>
            <w:r>
              <w:rPr>
                <w:rFonts w:hint="eastAsia" w:ascii="宋体" w:hAnsi="宋体"/>
                <w:sz w:val="24"/>
                <w:szCs w:val="24"/>
              </w:rPr>
              <w:t>电话</w:t>
            </w:r>
            <w:r>
              <w:rPr>
                <w:rFonts w:ascii="宋体" w:hAnsi="宋体"/>
                <w:sz w:val="24"/>
                <w:szCs w:val="24"/>
              </w:rPr>
              <w:t xml:space="preserve">0535-6977130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84" w:type="pct"/>
            <w:vMerge w:val="continue"/>
            <w:vAlign w:val="center"/>
          </w:tcPr>
          <w:p>
            <w:pPr>
              <w:spacing w:line="360" w:lineRule="auto"/>
              <w:ind w:right="-82" w:firstLine="480" w:firstLineChars="200"/>
              <w:rPr>
                <w:rFonts w:ascii="宋体"/>
                <w:sz w:val="24"/>
                <w:szCs w:val="24"/>
              </w:rPr>
            </w:pPr>
          </w:p>
        </w:tc>
        <w:tc>
          <w:tcPr>
            <w:tcW w:w="659" w:type="pct"/>
            <w:vMerge w:val="continue"/>
            <w:vAlign w:val="center"/>
          </w:tcPr>
          <w:p>
            <w:pPr>
              <w:spacing w:line="360" w:lineRule="auto"/>
              <w:ind w:right="-82" w:firstLine="480" w:firstLineChars="200"/>
              <w:rPr>
                <w:rFonts w:ascii="宋体"/>
                <w:sz w:val="24"/>
                <w:szCs w:val="24"/>
              </w:rPr>
            </w:pPr>
          </w:p>
        </w:tc>
        <w:tc>
          <w:tcPr>
            <w:tcW w:w="470" w:type="pct"/>
            <w:vMerge w:val="continue"/>
            <w:vAlign w:val="center"/>
          </w:tcPr>
          <w:p>
            <w:pPr>
              <w:spacing w:line="360" w:lineRule="auto"/>
              <w:ind w:right="-82" w:firstLine="480" w:firstLineChars="200"/>
              <w:rPr>
                <w:rFonts w:ascii="宋体"/>
                <w:sz w:val="24"/>
                <w:szCs w:val="24"/>
              </w:rPr>
            </w:pPr>
          </w:p>
        </w:tc>
        <w:tc>
          <w:tcPr>
            <w:tcW w:w="3584" w:type="pct"/>
            <w:gridSpan w:val="2"/>
            <w:vAlign w:val="center"/>
          </w:tcPr>
          <w:p>
            <w:pPr>
              <w:spacing w:line="360" w:lineRule="auto"/>
              <w:ind w:right="-82"/>
              <w:rPr>
                <w:rFonts w:ascii="宋体"/>
                <w:sz w:val="24"/>
                <w:szCs w:val="24"/>
              </w:rPr>
            </w:pPr>
            <w:r>
              <w:rPr>
                <w:rFonts w:hint="eastAsia" w:ascii="宋体" w:hAnsi="宋体"/>
                <w:sz w:val="24"/>
                <w:szCs w:val="24"/>
              </w:rPr>
              <w:t>邮编：</w:t>
            </w:r>
            <w:r>
              <w:rPr>
                <w:rFonts w:ascii="宋体" w:hAnsi="宋体"/>
                <w:sz w:val="24"/>
                <w:szCs w:val="24"/>
              </w:rPr>
              <w:t>264006</w:t>
            </w:r>
          </w:p>
        </w:tc>
      </w:tr>
    </w:tbl>
    <w:p>
      <w:pPr>
        <w:keepNext/>
        <w:keepLines/>
        <w:spacing w:line="360" w:lineRule="auto"/>
        <w:ind w:right="-79"/>
        <w:outlineLvl w:val="0"/>
        <w:rPr>
          <w:rFonts w:ascii="宋体"/>
          <w:b/>
          <w:bCs/>
          <w:kern w:val="44"/>
          <w:sz w:val="28"/>
          <w:szCs w:val="28"/>
        </w:rPr>
      </w:pPr>
      <w:r>
        <mc:AlternateContent>
          <mc:Choice Requires="wps">
            <w:drawing>
              <wp:anchor distT="0" distB="0" distL="113665" distR="113665" simplePos="0" relativeHeight="251659264" behindDoc="0" locked="0" layoutInCell="0" allowOverlap="1">
                <wp:simplePos x="0" y="0"/>
                <wp:positionH relativeFrom="column">
                  <wp:posOffset>0</wp:posOffset>
                </wp:positionH>
                <wp:positionV relativeFrom="paragraph">
                  <wp:posOffset>193040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15.2pt;height:0pt;width:0pt;z-index:251659264;mso-width-relative:page;mso-height-relative:page;" filled="f" stroked="t" coordsize="21600,21600" o:allowincell="f" o:gfxdata="UEsDBAoAAAAAAIdO4kAAAAAAAAAAAAAAAAAEAAAAZHJzL1BLAwQUAAAACACHTuJA3nGYL9AAAAAD&#10;AQAADwAAAGRycy9kb3ducmV2LnhtbE2Py07DMBBF90j8gzVIbKrWbosqlMbpAsiuG0orttN4SCLi&#10;cRq7L76eQSxgeXRH957JVxffqRMNsQ1sYToxoIir4FquLWzfyvEjqJiQHXaBycKVIqyK25scMxfO&#10;/EqnTaqVlHDM0EKTUp9pHauGPMZJ6Ikl+wiDxyQ41NoNeJZy3+mZMQvtsWVZaLCnp4aqz83RW4jl&#10;jg7l16gamfd5HWh2eF6/oLX3d1OzBJXokv6O4Udf1KEQp304souqsyCPJAtz8wBKUqH9L+ki1//d&#10;i29QSwMEFAAAAAgAh07iQN3hkiXbAQAApAMAAA4AAABkcnMvZTJvRG9jLnhtbK1TzY7TMBC+I/EO&#10;lu80baVFEDXdQ6vlskClXR7AdZzEwvZYHrdJX4IXQOIGJ47ceRt2H4Ox0xZ2ueyBHCzP3+f5vpks&#10;Lgdr2F4F1OAqPptMOVNOQq1dW/EPt1cvXnGGUbhaGHCq4geF/HL5/Nmi96WaQwemVoERiMOy9xXv&#10;YvRlUaDslBU4Aa8cBRsIVkQyQ1vUQfSEbk0xn05fFj2E2geQCpG86zHIj4jhKYDQNFqqNcidVS6O&#10;qEEZEYkSdtojX+Zum0bJ+L5pUEVmKk5MYz7pEbpv01ksF6Jsg/CdlscWxFNaeMTJCu3o0TPUWkTB&#10;dkH/A2W1DIDQxIkEW4xEsiLEYjZ9pM1NJ7zKXEhq9GfR8f/Bynf7TWC6pk3gzAlLA7/7/OPXp6/3&#10;P7/Qeff9G5slkXqPJeWu3CYkmnJwN/4a5EdkDladcK3Kzd4ePCHkiuJBSTLQ01Pb/i3UlCN2EbJi&#10;QxNsgiQt2JAHczgPRg2RydEpT95ClKcSHzC+UWBZulTcaJfUEqXYX2Okpin1lJLcDq60MXnixrG+&#10;4q8v5he5AMHoOgVTGoZ2uzKB7UXamfwlBQjsQVqAnatHv3EUPjEctdpCfdiEFE5+Gl4GOC5a2o6/&#10;7Zz15+da/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cZgv0AAAAAMBAAAPAAAAAAAAAAEAIAAA&#10;ACIAAABkcnMvZG93bnJldi54bWxQSwECFAAUAAAACACHTuJA3eGSJdsBAACkAwAADgAAAAAAAAAB&#10;ACAAAAAfAQAAZHJzL2Uyb0RvYy54bWxQSwUGAAAAAAYABgBZAQAAbAUAAAAA&#10;">
                <v:fill on="f" focussize="0,0"/>
                <v:stroke color="#000000" joinstyle="round"/>
                <v:imagedata o:title=""/>
                <o:lock v:ext="edit" aspectratio="f"/>
              </v:line>
            </w:pict>
          </mc:Fallback>
        </mc:AlternateContent>
      </w:r>
      <w:bookmarkStart w:id="35" w:name="_2．概述"/>
      <w:bookmarkEnd w:id="35"/>
      <w:bookmarkStart w:id="36" w:name="_Toc64428453"/>
      <w:r>
        <w:rPr>
          <w:rFonts w:ascii="宋体" w:hAnsi="宋体"/>
          <w:b/>
          <w:bCs/>
          <w:kern w:val="44"/>
          <w:sz w:val="28"/>
          <w:szCs w:val="28"/>
        </w:rPr>
        <w:t>2.</w:t>
      </w:r>
      <w:bookmarkEnd w:id="36"/>
      <w:r>
        <w:rPr>
          <w:rFonts w:hint="eastAsia" w:ascii="宋体" w:hAnsi="宋体"/>
          <w:b/>
          <w:bCs/>
          <w:kern w:val="44"/>
          <w:sz w:val="28"/>
          <w:szCs w:val="28"/>
        </w:rPr>
        <w:t>工程概况</w:t>
      </w:r>
    </w:p>
    <w:p>
      <w:pPr>
        <w:spacing w:line="360" w:lineRule="auto"/>
        <w:ind w:firstLine="480" w:firstLineChars="200"/>
        <w:rPr>
          <w:rFonts w:ascii="宋体"/>
          <w:sz w:val="24"/>
          <w:szCs w:val="24"/>
        </w:rPr>
      </w:pPr>
      <w:bookmarkStart w:id="37" w:name="_Toc122510050"/>
      <w:r>
        <w:rPr>
          <w:rFonts w:ascii="宋体" w:hAnsi="宋体"/>
          <w:sz w:val="24"/>
          <w:szCs w:val="24"/>
        </w:rPr>
        <w:t>2.1</w:t>
      </w:r>
      <w:bookmarkEnd w:id="37"/>
      <w:bookmarkStart w:id="38" w:name="_Toc122510051"/>
      <w:r>
        <w:rPr>
          <w:rFonts w:hint="eastAsia" w:ascii="宋体" w:hAnsi="宋体"/>
          <w:sz w:val="24"/>
          <w:szCs w:val="24"/>
        </w:rPr>
        <w:t>工程项目名称：</w:t>
      </w:r>
      <w:bookmarkEnd w:id="38"/>
      <w:r>
        <w:rPr>
          <w:rFonts w:hint="eastAsia" w:ascii="宋体" w:hAnsi="宋体"/>
          <w:sz w:val="24"/>
          <w:szCs w:val="24"/>
        </w:rPr>
        <w:t>鑫广绿环再生资源股份有限公司</w:t>
      </w:r>
      <w:r>
        <w:rPr>
          <w:rFonts w:hint="eastAsia" w:asciiTheme="minorEastAsia" w:hAnsiTheme="minorEastAsia" w:eastAsiaTheme="minorEastAsia"/>
          <w:sz w:val="24"/>
          <w:szCs w:val="24"/>
        </w:rPr>
        <w:t>危废处置中心技改项目</w:t>
      </w:r>
      <w:r>
        <w:rPr>
          <w:rFonts w:hint="eastAsia" w:ascii="宋体" w:hAnsi="宋体" w:cs="宋体"/>
          <w:color w:val="000000"/>
          <w:kern w:val="0"/>
          <w:sz w:val="24"/>
          <w:szCs w:val="24"/>
        </w:rPr>
        <w:t>监理</w:t>
      </w:r>
    </w:p>
    <w:p>
      <w:pPr>
        <w:spacing w:line="360" w:lineRule="auto"/>
        <w:ind w:firstLine="480" w:firstLineChars="200"/>
        <w:rPr>
          <w:rFonts w:ascii="宋体" w:hAnsi="宋体"/>
          <w:sz w:val="24"/>
          <w:szCs w:val="24"/>
          <w:highlight w:val="yellow"/>
        </w:rPr>
      </w:pPr>
      <w:bookmarkStart w:id="39" w:name="_Toc122510052"/>
      <w:r>
        <w:rPr>
          <w:rFonts w:ascii="宋体" w:hAnsi="宋体"/>
          <w:sz w:val="24"/>
          <w:szCs w:val="24"/>
          <w:highlight w:val="yellow"/>
        </w:rPr>
        <w:t>2.2</w:t>
      </w:r>
      <w:r>
        <w:rPr>
          <w:rFonts w:hint="eastAsia" w:ascii="宋体" w:hAnsi="宋体"/>
          <w:sz w:val="24"/>
          <w:szCs w:val="24"/>
          <w:highlight w:val="yellow"/>
        </w:rPr>
        <w:t>工程项目地址：</w:t>
      </w:r>
      <w:bookmarkEnd w:id="39"/>
      <w:bookmarkStart w:id="40" w:name="_Toc122510054"/>
      <w:r>
        <w:rPr>
          <w:rFonts w:hint="eastAsia" w:ascii="宋体" w:hAnsi="宋体"/>
          <w:sz w:val="24"/>
          <w:szCs w:val="24"/>
          <w:highlight w:val="yellow"/>
        </w:rPr>
        <w:t>山东省烟台市开发区开封路8号</w:t>
      </w:r>
    </w:p>
    <w:p>
      <w:pPr>
        <w:spacing w:line="360" w:lineRule="auto"/>
        <w:ind w:firstLine="480" w:firstLineChars="200"/>
        <w:rPr>
          <w:rFonts w:ascii="宋体" w:hAnsi="宋体"/>
          <w:sz w:val="24"/>
          <w:szCs w:val="24"/>
          <w:highlight w:val="yellow"/>
        </w:rPr>
      </w:pPr>
      <w:r>
        <w:rPr>
          <w:rFonts w:ascii="宋体" w:hAnsi="宋体"/>
          <w:sz w:val="24"/>
          <w:szCs w:val="24"/>
          <w:highlight w:val="yellow"/>
        </w:rPr>
        <w:t>2</w:t>
      </w:r>
      <w:r>
        <w:rPr>
          <w:rFonts w:hint="eastAsia" w:ascii="宋体" w:hAnsi="宋体"/>
          <w:sz w:val="24"/>
          <w:szCs w:val="24"/>
          <w:highlight w:val="yellow"/>
        </w:rPr>
        <w:t>.</w:t>
      </w:r>
      <w:r>
        <w:rPr>
          <w:rFonts w:ascii="宋体" w:hAnsi="宋体"/>
          <w:sz w:val="24"/>
          <w:szCs w:val="24"/>
          <w:highlight w:val="yellow"/>
        </w:rPr>
        <w:t>3</w:t>
      </w:r>
      <w:r>
        <w:rPr>
          <w:rFonts w:hint="eastAsia" w:ascii="宋体" w:hAnsi="宋体"/>
          <w:sz w:val="24"/>
          <w:szCs w:val="24"/>
          <w:highlight w:val="yellow"/>
        </w:rPr>
        <w:t>建设规模：</w:t>
      </w:r>
      <w:bookmarkEnd w:id="40"/>
      <w:bookmarkStart w:id="41" w:name="_Toc122510057"/>
      <w:r>
        <w:rPr>
          <w:rFonts w:hint="eastAsia" w:ascii="宋体" w:hAnsi="宋体"/>
          <w:sz w:val="24"/>
          <w:szCs w:val="24"/>
          <w:highlight w:val="yellow"/>
        </w:rPr>
        <w:t>建筑面积约1909.96平方米</w:t>
      </w:r>
      <w:r>
        <w:rPr>
          <w:rFonts w:ascii="宋体" w:hAnsi="宋体"/>
          <w:sz w:val="24"/>
          <w:szCs w:val="24"/>
          <w:highlight w:val="yellow"/>
        </w:rPr>
        <w:t xml:space="preserve"> </w:t>
      </w:r>
    </w:p>
    <w:p>
      <w:pPr>
        <w:spacing w:line="360" w:lineRule="auto"/>
        <w:ind w:firstLine="480" w:firstLineChars="200"/>
        <w:rPr>
          <w:rFonts w:ascii="宋体" w:hAnsi="宋体"/>
          <w:sz w:val="24"/>
          <w:szCs w:val="24"/>
          <w:highlight w:val="yellow"/>
        </w:rPr>
      </w:pPr>
      <w:r>
        <w:rPr>
          <w:rFonts w:ascii="宋体" w:hAnsi="宋体"/>
          <w:sz w:val="24"/>
          <w:szCs w:val="24"/>
          <w:highlight w:val="yellow"/>
        </w:rPr>
        <w:t>2.4</w:t>
      </w:r>
      <w:r>
        <w:rPr>
          <w:rFonts w:hint="eastAsia" w:ascii="宋体" w:hAnsi="宋体"/>
          <w:sz w:val="24"/>
          <w:szCs w:val="24"/>
          <w:highlight w:val="yellow"/>
        </w:rPr>
        <w:t>投资规模：投资约200 万元</w:t>
      </w:r>
    </w:p>
    <w:p>
      <w:pPr>
        <w:spacing w:line="360" w:lineRule="auto"/>
        <w:ind w:firstLine="480" w:firstLineChars="200"/>
        <w:rPr>
          <w:rFonts w:ascii="宋体" w:hAnsi="宋体"/>
          <w:sz w:val="24"/>
          <w:szCs w:val="24"/>
          <w:highlight w:val="yellow"/>
        </w:rPr>
      </w:pPr>
      <w:r>
        <w:rPr>
          <w:rFonts w:ascii="宋体" w:hAnsi="宋体"/>
          <w:sz w:val="24"/>
          <w:szCs w:val="24"/>
          <w:highlight w:val="yellow"/>
        </w:rPr>
        <w:t>2.</w:t>
      </w:r>
      <w:r>
        <w:rPr>
          <w:rFonts w:hint="eastAsia" w:ascii="宋体" w:hAnsi="宋体"/>
          <w:sz w:val="24"/>
          <w:szCs w:val="24"/>
          <w:highlight w:val="yellow"/>
        </w:rPr>
        <w:t>5工程质量要求：工程质量按《建筑工程施工质量验收统一标准》（GB50300-2013）及相关专业质量验收规范验收，达到合格标准。</w:t>
      </w:r>
    </w:p>
    <w:p>
      <w:pPr>
        <w:spacing w:line="360" w:lineRule="auto"/>
        <w:ind w:firstLine="480" w:firstLineChars="200"/>
        <w:rPr>
          <w:rFonts w:ascii="宋体" w:hAnsi="宋体"/>
          <w:sz w:val="24"/>
          <w:szCs w:val="24"/>
          <w:highlight w:val="yellow"/>
        </w:rPr>
      </w:pPr>
      <w:r>
        <w:rPr>
          <w:rFonts w:ascii="宋体" w:hAnsi="宋体"/>
          <w:sz w:val="24"/>
          <w:szCs w:val="24"/>
          <w:highlight w:val="yellow"/>
        </w:rPr>
        <w:t>2.4</w:t>
      </w:r>
      <w:r>
        <w:rPr>
          <w:rFonts w:hint="eastAsia" w:ascii="宋体" w:hAnsi="宋体"/>
          <w:sz w:val="24"/>
          <w:szCs w:val="24"/>
          <w:highlight w:val="yellow"/>
        </w:rPr>
        <w:t>施工工期：</w:t>
      </w:r>
    </w:p>
    <w:p>
      <w:pPr>
        <w:spacing w:line="360" w:lineRule="auto"/>
        <w:ind w:firstLine="480" w:firstLineChars="200"/>
        <w:rPr>
          <w:rFonts w:hint="eastAsia" w:ascii="宋体" w:hAnsi="宋体"/>
          <w:sz w:val="24"/>
          <w:szCs w:val="24"/>
          <w:highlight w:val="yellow"/>
        </w:rPr>
      </w:pPr>
      <w:r>
        <w:rPr>
          <w:rFonts w:hint="eastAsia" w:ascii="宋体" w:hAnsi="宋体"/>
          <w:sz w:val="24"/>
          <w:szCs w:val="24"/>
          <w:highlight w:val="yellow"/>
        </w:rPr>
        <w:t>工期约100天，预计开工日期：</w:t>
      </w:r>
      <w:r>
        <w:rPr>
          <w:rFonts w:ascii="宋体" w:hAnsi="宋体"/>
          <w:sz w:val="24"/>
          <w:szCs w:val="24"/>
          <w:highlight w:val="yellow"/>
        </w:rPr>
        <w:t xml:space="preserve"> 20</w:t>
      </w:r>
      <w:r>
        <w:rPr>
          <w:rFonts w:hint="eastAsia" w:ascii="宋体" w:hAnsi="宋体"/>
          <w:sz w:val="24"/>
          <w:szCs w:val="24"/>
          <w:highlight w:val="yellow"/>
        </w:rPr>
        <w:t>22年11月25日，</w:t>
      </w:r>
      <w:r>
        <w:rPr>
          <w:rFonts w:ascii="宋体" w:hAnsi="宋体"/>
          <w:sz w:val="24"/>
          <w:szCs w:val="24"/>
          <w:highlight w:val="yellow"/>
        </w:rPr>
        <w:t>具体开工时间以</w:t>
      </w:r>
      <w:r>
        <w:rPr>
          <w:rFonts w:hint="eastAsia" w:ascii="宋体" w:hAnsi="宋体"/>
          <w:sz w:val="24"/>
          <w:szCs w:val="24"/>
          <w:highlight w:val="yellow"/>
        </w:rPr>
        <w:t>建设方</w:t>
      </w:r>
      <w:r>
        <w:rPr>
          <w:rFonts w:ascii="宋体" w:hAnsi="宋体"/>
          <w:sz w:val="24"/>
          <w:szCs w:val="24"/>
          <w:highlight w:val="yellow"/>
        </w:rPr>
        <w:t>通知为准。</w:t>
      </w:r>
    </w:p>
    <w:bookmarkEnd w:id="41"/>
    <w:p>
      <w:pPr>
        <w:keepNext/>
        <w:keepLines/>
        <w:spacing w:line="360" w:lineRule="auto"/>
        <w:ind w:right="-79"/>
        <w:outlineLvl w:val="0"/>
        <w:rPr>
          <w:rFonts w:ascii="宋体"/>
          <w:b/>
          <w:bCs/>
          <w:kern w:val="44"/>
          <w:sz w:val="28"/>
          <w:szCs w:val="28"/>
        </w:rPr>
      </w:pPr>
      <w:bookmarkStart w:id="42" w:name="_3．资金来源："/>
      <w:bookmarkEnd w:id="42"/>
      <w:bookmarkStart w:id="43" w:name="_Toc73429372"/>
      <w:bookmarkStart w:id="44" w:name="_Toc104370877"/>
      <w:bookmarkStart w:id="45" w:name="_Toc122510084"/>
      <w:bookmarkStart w:id="46" w:name="_Toc144884195"/>
      <w:bookmarkStart w:id="47" w:name="_Toc226536791"/>
      <w:bookmarkStart w:id="48" w:name="_Toc232936389"/>
      <w:r>
        <w:rPr>
          <w:rFonts w:ascii="宋体" w:hAnsi="宋体"/>
          <w:b/>
          <w:bCs/>
          <w:kern w:val="44"/>
          <w:sz w:val="28"/>
          <w:szCs w:val="28"/>
        </w:rPr>
        <w:t>3.</w:t>
      </w:r>
      <w:r>
        <w:rPr>
          <w:rFonts w:hint="eastAsia" w:ascii="宋体" w:hAnsi="宋体"/>
          <w:b/>
          <w:bCs/>
          <w:kern w:val="44"/>
          <w:sz w:val="28"/>
          <w:szCs w:val="28"/>
        </w:rPr>
        <w:t>招标文件</w:t>
      </w:r>
      <w:bookmarkEnd w:id="43"/>
      <w:bookmarkEnd w:id="44"/>
      <w:bookmarkEnd w:id="45"/>
      <w:bookmarkEnd w:id="46"/>
      <w:bookmarkEnd w:id="47"/>
      <w:bookmarkEnd w:id="48"/>
    </w:p>
    <w:p>
      <w:pPr>
        <w:spacing w:line="360" w:lineRule="auto"/>
        <w:ind w:right="-82" w:firstLine="480" w:firstLineChars="200"/>
        <w:rPr>
          <w:rFonts w:ascii="宋体"/>
          <w:sz w:val="24"/>
          <w:szCs w:val="24"/>
        </w:rPr>
      </w:pPr>
      <w:bookmarkStart w:id="49" w:name="_Toc122510085"/>
      <w:r>
        <w:rPr>
          <w:rFonts w:ascii="宋体" w:hAnsi="宋体"/>
          <w:sz w:val="24"/>
          <w:szCs w:val="24"/>
        </w:rPr>
        <w:t>3.1</w:t>
      </w:r>
      <w:r>
        <w:rPr>
          <w:rFonts w:hint="eastAsia" w:ascii="宋体" w:hAnsi="宋体"/>
          <w:sz w:val="24"/>
          <w:szCs w:val="24"/>
        </w:rPr>
        <w:t>招标文件的组成</w:t>
      </w:r>
      <w:bookmarkEnd w:id="49"/>
    </w:p>
    <w:p>
      <w:pPr>
        <w:spacing w:line="360" w:lineRule="auto"/>
        <w:ind w:right="-82" w:firstLine="480" w:firstLineChars="200"/>
        <w:rPr>
          <w:rFonts w:ascii="宋体"/>
          <w:sz w:val="24"/>
          <w:szCs w:val="24"/>
        </w:rPr>
      </w:pPr>
      <w:bookmarkStart w:id="50" w:name="_Toc122510086"/>
      <w:r>
        <w:rPr>
          <w:rFonts w:ascii="宋体" w:hAnsi="宋体"/>
          <w:sz w:val="24"/>
          <w:szCs w:val="24"/>
        </w:rPr>
        <w:t>3.1.1</w:t>
      </w:r>
      <w:r>
        <w:rPr>
          <w:rFonts w:hint="eastAsia" w:ascii="宋体" w:hAnsi="宋体"/>
          <w:sz w:val="24"/>
          <w:szCs w:val="24"/>
        </w:rPr>
        <w:t>招标文件主要由下列文件材料组成</w:t>
      </w:r>
      <w:bookmarkEnd w:id="50"/>
    </w:p>
    <w:p>
      <w:pPr>
        <w:spacing w:line="360" w:lineRule="auto"/>
        <w:ind w:right="-82" w:firstLine="480" w:firstLineChars="200"/>
        <w:rPr>
          <w:rFonts w:ascii="宋体"/>
          <w:sz w:val="24"/>
          <w:szCs w:val="24"/>
        </w:rPr>
      </w:pPr>
      <w:r>
        <w:rPr>
          <w:rFonts w:ascii="宋体" w:hAnsi="宋体"/>
          <w:sz w:val="24"/>
          <w:szCs w:val="24"/>
        </w:rPr>
        <w:t>3.1.1.1</w:t>
      </w:r>
      <w:r>
        <w:rPr>
          <w:rFonts w:hint="eastAsia" w:ascii="宋体" w:hAnsi="宋体"/>
          <w:sz w:val="24"/>
          <w:szCs w:val="24"/>
        </w:rPr>
        <w:t>投标须知</w:t>
      </w:r>
    </w:p>
    <w:p>
      <w:pPr>
        <w:spacing w:line="360" w:lineRule="auto"/>
        <w:ind w:right="-82" w:firstLine="480" w:firstLineChars="200"/>
        <w:rPr>
          <w:rFonts w:ascii="宋体"/>
          <w:sz w:val="24"/>
          <w:szCs w:val="24"/>
        </w:rPr>
      </w:pPr>
      <w:r>
        <w:rPr>
          <w:rFonts w:ascii="宋体" w:hAnsi="宋体"/>
          <w:sz w:val="24"/>
          <w:szCs w:val="24"/>
        </w:rPr>
        <w:t>3.1.1.2</w:t>
      </w:r>
      <w:r>
        <w:rPr>
          <w:rFonts w:hint="eastAsia" w:ascii="宋体" w:hAnsi="宋体"/>
          <w:sz w:val="24"/>
          <w:szCs w:val="24"/>
        </w:rPr>
        <w:t>合同条款</w:t>
      </w:r>
    </w:p>
    <w:p>
      <w:pPr>
        <w:spacing w:line="360" w:lineRule="auto"/>
        <w:ind w:right="-82" w:firstLine="480" w:firstLineChars="200"/>
        <w:rPr>
          <w:rFonts w:ascii="宋体"/>
          <w:sz w:val="24"/>
          <w:szCs w:val="24"/>
        </w:rPr>
      </w:pPr>
      <w:bookmarkStart w:id="51" w:name="_Toc122510088"/>
      <w:r>
        <w:rPr>
          <w:rFonts w:ascii="宋体" w:hAnsi="宋体"/>
          <w:sz w:val="24"/>
          <w:szCs w:val="24"/>
        </w:rPr>
        <w:t>3.2</w:t>
      </w:r>
      <w:r>
        <w:rPr>
          <w:rFonts w:hint="eastAsia" w:ascii="宋体" w:hAnsi="宋体"/>
          <w:sz w:val="24"/>
          <w:szCs w:val="24"/>
        </w:rPr>
        <w:t>阅读招标文件材料</w:t>
      </w:r>
      <w:bookmarkEnd w:id="51"/>
    </w:p>
    <w:p>
      <w:pPr>
        <w:spacing w:line="360" w:lineRule="auto"/>
        <w:ind w:right="-82" w:firstLine="480" w:firstLineChars="200"/>
        <w:rPr>
          <w:rFonts w:ascii="宋体"/>
          <w:sz w:val="24"/>
          <w:szCs w:val="24"/>
        </w:rPr>
      </w:pPr>
      <w:bookmarkStart w:id="52" w:name="_Toc122510089"/>
      <w:r>
        <w:rPr>
          <w:rFonts w:ascii="宋体" w:hAnsi="宋体"/>
          <w:sz w:val="24"/>
          <w:szCs w:val="24"/>
        </w:rPr>
        <w:t>3.2.1</w:t>
      </w:r>
      <w:r>
        <w:rPr>
          <w:rFonts w:hint="eastAsia" w:ascii="宋体" w:hAnsi="宋体"/>
          <w:sz w:val="24"/>
          <w:szCs w:val="24"/>
        </w:rPr>
        <w:t>投标人应认真阅读和充分全面理解本招标文件材料，</w:t>
      </w:r>
      <w:r>
        <w:rPr>
          <w:rFonts w:hint="eastAsia" w:ascii="Arial" w:hAnsi="宋体" w:cs="Arial"/>
          <w:snapToGrid w:val="0"/>
          <w:kern w:val="0"/>
          <w:sz w:val="24"/>
          <w:szCs w:val="24"/>
        </w:rPr>
        <w:t>投标人由此而作出的推论、理解和结论招标人概不负责。如果投标文件未满足招标文件的要求，责任由投标人自行承担；被认为是没有满足招标文件要求的投标文件将被</w:t>
      </w:r>
      <w:r>
        <w:rPr>
          <w:rFonts w:hint="eastAsia" w:ascii="宋体" w:hAnsi="宋体"/>
          <w:sz w:val="24"/>
          <w:szCs w:val="24"/>
        </w:rPr>
        <w:t>视为废标，予以拒绝。</w:t>
      </w:r>
      <w:bookmarkEnd w:id="52"/>
      <w:bookmarkStart w:id="53" w:name="_Toc122510092"/>
    </w:p>
    <w:p>
      <w:pPr>
        <w:spacing w:line="360" w:lineRule="auto"/>
        <w:ind w:right="-82" w:firstLine="480" w:firstLineChars="200"/>
        <w:rPr>
          <w:rFonts w:ascii="宋体"/>
          <w:sz w:val="24"/>
          <w:szCs w:val="24"/>
        </w:rPr>
      </w:pPr>
      <w:r>
        <w:rPr>
          <w:rFonts w:ascii="宋体" w:hAnsi="宋体"/>
          <w:sz w:val="24"/>
          <w:szCs w:val="24"/>
        </w:rPr>
        <w:t>3.2.2</w:t>
      </w:r>
      <w:r>
        <w:rPr>
          <w:rFonts w:hint="eastAsia" w:ascii="宋体" w:hAnsi="宋体"/>
          <w:sz w:val="24"/>
          <w:szCs w:val="24"/>
        </w:rPr>
        <w:t>凡获得招标文件材料者，无论投标与否，均应对招标文件材料负保密责任。</w:t>
      </w:r>
    </w:p>
    <w:bookmarkEnd w:id="53"/>
    <w:p>
      <w:pPr>
        <w:spacing w:line="360" w:lineRule="auto"/>
        <w:ind w:right="-82" w:firstLine="480" w:firstLineChars="200"/>
        <w:rPr>
          <w:rFonts w:ascii="宋体"/>
          <w:sz w:val="24"/>
          <w:szCs w:val="24"/>
        </w:rPr>
      </w:pPr>
      <w:bookmarkStart w:id="54" w:name="_Toc122510093"/>
      <w:r>
        <w:rPr>
          <w:rFonts w:ascii="宋体" w:hAnsi="宋体"/>
          <w:sz w:val="24"/>
          <w:szCs w:val="24"/>
        </w:rPr>
        <w:t>3.3</w:t>
      </w:r>
      <w:r>
        <w:rPr>
          <w:rFonts w:hint="eastAsia" w:ascii="宋体" w:hAnsi="宋体"/>
          <w:sz w:val="24"/>
          <w:szCs w:val="24"/>
        </w:rPr>
        <w:t>招标文件的解释与澄清</w:t>
      </w:r>
      <w:bookmarkEnd w:id="54"/>
    </w:p>
    <w:p>
      <w:pPr>
        <w:spacing w:line="360" w:lineRule="auto"/>
        <w:ind w:right="-82" w:firstLine="480" w:firstLineChars="200"/>
        <w:rPr>
          <w:rFonts w:ascii="宋体"/>
          <w:sz w:val="24"/>
          <w:szCs w:val="24"/>
        </w:rPr>
      </w:pPr>
      <w:bookmarkStart w:id="55" w:name="_Toc122510094"/>
      <w:r>
        <w:rPr>
          <w:rFonts w:ascii="宋体" w:hAnsi="宋体"/>
          <w:sz w:val="24"/>
          <w:szCs w:val="24"/>
        </w:rPr>
        <w:t>3.3.1</w:t>
      </w:r>
      <w:r>
        <w:rPr>
          <w:rFonts w:hint="eastAsia" w:ascii="宋体" w:hAnsi="宋体"/>
          <w:sz w:val="24"/>
          <w:szCs w:val="24"/>
        </w:rPr>
        <w:t>投标人应在答疑截止时间前</w:t>
      </w:r>
      <w:r>
        <w:rPr>
          <w:rFonts w:ascii="Arial" w:hAnsi="Arial" w:cs="Arial"/>
          <w:snapToGrid w:val="0"/>
          <w:kern w:val="0"/>
          <w:sz w:val="24"/>
          <w:szCs w:val="24"/>
        </w:rPr>
        <w:t xml:space="preserve"> (</w:t>
      </w:r>
      <w:r>
        <w:rPr>
          <w:rFonts w:hint="eastAsia" w:ascii="Arial" w:hAnsi="Arial" w:cs="Arial"/>
          <w:snapToGrid w:val="0"/>
          <w:kern w:val="0"/>
          <w:sz w:val="24"/>
          <w:szCs w:val="24"/>
        </w:rPr>
        <w:t>传递方式</w:t>
      </w:r>
      <w:r>
        <w:rPr>
          <w:rFonts w:hint="eastAsia" w:ascii="Arial" w:hAnsi="宋体" w:cs="Arial"/>
          <w:snapToGrid w:val="0"/>
          <w:kern w:val="0"/>
          <w:sz w:val="24"/>
          <w:szCs w:val="24"/>
        </w:rPr>
        <w:t>包括</w:t>
      </w:r>
      <w:r>
        <w:rPr>
          <w:rFonts w:hint="eastAsia" w:ascii="宋体" w:hAnsi="宋体"/>
          <w:sz w:val="24"/>
          <w:szCs w:val="24"/>
        </w:rPr>
        <w:t>书面形式、</w:t>
      </w:r>
      <w:r>
        <w:rPr>
          <w:rFonts w:hint="eastAsia" w:ascii="Arial" w:hAnsi="宋体" w:cs="Arial"/>
          <w:snapToGrid w:val="0"/>
          <w:kern w:val="0"/>
          <w:sz w:val="24"/>
          <w:szCs w:val="24"/>
        </w:rPr>
        <w:t>电子邮件、传真等，下同</w:t>
      </w:r>
      <w:r>
        <w:rPr>
          <w:rFonts w:ascii="Arial" w:hAnsi="Arial" w:cs="Arial"/>
          <w:snapToGrid w:val="0"/>
          <w:kern w:val="0"/>
          <w:sz w:val="24"/>
          <w:szCs w:val="24"/>
        </w:rPr>
        <w:t>)</w:t>
      </w:r>
      <w:r>
        <w:rPr>
          <w:rFonts w:hint="eastAsia" w:ascii="宋体" w:hAnsi="宋体"/>
          <w:sz w:val="24"/>
          <w:szCs w:val="24"/>
        </w:rPr>
        <w:t>向招标人提交需要澄清或解答的问题。</w:t>
      </w:r>
      <w:bookmarkEnd w:id="55"/>
    </w:p>
    <w:p>
      <w:pPr>
        <w:spacing w:line="360" w:lineRule="auto"/>
        <w:ind w:right="-82" w:firstLine="480" w:firstLineChars="200"/>
        <w:rPr>
          <w:rFonts w:ascii="宋体"/>
          <w:sz w:val="24"/>
          <w:szCs w:val="24"/>
        </w:rPr>
      </w:pPr>
      <w:bookmarkStart w:id="56" w:name="_Toc122510095"/>
      <w:bookmarkStart w:id="57" w:name="_Toc122510096"/>
      <w:r>
        <w:rPr>
          <w:rFonts w:ascii="宋体" w:hAnsi="宋体"/>
          <w:sz w:val="24"/>
          <w:szCs w:val="24"/>
        </w:rPr>
        <w:t>3.3.2</w:t>
      </w:r>
      <w:r>
        <w:rPr>
          <w:rFonts w:hint="eastAsia" w:ascii="宋体" w:hAnsi="宋体"/>
          <w:sz w:val="24"/>
          <w:szCs w:val="24"/>
        </w:rPr>
        <w:t>招标人收到投标人书面问题后将在投标截止日前以书面形式给予答复。</w:t>
      </w:r>
      <w:bookmarkEnd w:id="56"/>
    </w:p>
    <w:p>
      <w:pPr>
        <w:spacing w:line="360" w:lineRule="auto"/>
        <w:ind w:right="-82" w:firstLine="480" w:firstLineChars="200"/>
        <w:rPr>
          <w:rFonts w:ascii="宋体"/>
          <w:sz w:val="24"/>
          <w:szCs w:val="24"/>
        </w:rPr>
      </w:pPr>
      <w:r>
        <w:rPr>
          <w:rFonts w:ascii="宋体" w:hAnsi="宋体"/>
          <w:sz w:val="24"/>
          <w:szCs w:val="24"/>
        </w:rPr>
        <w:t>3.3.3</w:t>
      </w:r>
      <w:r>
        <w:rPr>
          <w:rFonts w:hint="eastAsia" w:ascii="宋体" w:hAnsi="宋体"/>
          <w:sz w:val="24"/>
          <w:szCs w:val="24"/>
        </w:rPr>
        <w:t>招标人对所有问题及其答复，将同时以书面形式通知其他所有获得招标文件材料的投标人，而无需解释问题是由何人提出的。</w:t>
      </w:r>
      <w:bookmarkEnd w:id="57"/>
      <w:r>
        <w:rPr>
          <w:rFonts w:hint="eastAsia" w:ascii="Arial" w:hAnsi="宋体" w:cs="Arial"/>
          <w:snapToGrid w:val="0"/>
          <w:kern w:val="0"/>
          <w:sz w:val="24"/>
          <w:szCs w:val="24"/>
        </w:rPr>
        <w:t>对未作答复的问题应视为无效，亦不作解释。</w:t>
      </w:r>
    </w:p>
    <w:p>
      <w:pPr>
        <w:spacing w:line="360" w:lineRule="auto"/>
        <w:ind w:right="-82" w:firstLine="480" w:firstLineChars="200"/>
        <w:rPr>
          <w:rFonts w:ascii="宋体"/>
          <w:sz w:val="24"/>
          <w:szCs w:val="24"/>
        </w:rPr>
      </w:pPr>
      <w:bookmarkStart w:id="58" w:name="_Toc122510097"/>
      <w:r>
        <w:rPr>
          <w:rFonts w:ascii="宋体" w:hAnsi="宋体"/>
          <w:sz w:val="24"/>
          <w:szCs w:val="24"/>
        </w:rPr>
        <w:t>3.4</w:t>
      </w:r>
      <w:r>
        <w:rPr>
          <w:rFonts w:hint="eastAsia" w:ascii="宋体" w:hAnsi="宋体"/>
          <w:sz w:val="24"/>
          <w:szCs w:val="24"/>
        </w:rPr>
        <w:t>招标文件的修改</w:t>
      </w:r>
      <w:bookmarkEnd w:id="58"/>
    </w:p>
    <w:p>
      <w:pPr>
        <w:spacing w:line="360" w:lineRule="auto"/>
        <w:ind w:right="-82" w:firstLine="480" w:firstLineChars="200"/>
        <w:rPr>
          <w:rFonts w:ascii="宋体"/>
          <w:sz w:val="24"/>
          <w:szCs w:val="24"/>
        </w:rPr>
      </w:pPr>
      <w:bookmarkStart w:id="59" w:name="_Toc122510098"/>
      <w:r>
        <w:rPr>
          <w:rFonts w:ascii="宋体" w:hAnsi="宋体"/>
          <w:sz w:val="24"/>
          <w:szCs w:val="24"/>
        </w:rPr>
        <w:t>3.4.1</w:t>
      </w:r>
      <w:r>
        <w:rPr>
          <w:rFonts w:hint="eastAsia" w:ascii="宋体" w:hAnsi="宋体"/>
          <w:sz w:val="24"/>
          <w:szCs w:val="24"/>
        </w:rPr>
        <w:t>招标人在投标截止时间前，有权对招标文件材料进行修改，而对修改原因无须作出解释。</w:t>
      </w:r>
      <w:bookmarkEnd w:id="59"/>
    </w:p>
    <w:p>
      <w:pPr>
        <w:spacing w:line="360" w:lineRule="auto"/>
        <w:ind w:right="-82" w:firstLine="480" w:firstLineChars="200"/>
        <w:rPr>
          <w:rFonts w:ascii="宋体"/>
          <w:sz w:val="24"/>
          <w:szCs w:val="24"/>
        </w:rPr>
      </w:pPr>
      <w:bookmarkStart w:id="60" w:name="_Toc122510099"/>
      <w:r>
        <w:rPr>
          <w:rFonts w:ascii="宋体" w:hAnsi="宋体"/>
          <w:sz w:val="24"/>
          <w:szCs w:val="24"/>
        </w:rPr>
        <w:t>3.4.2</w:t>
      </w:r>
      <w:r>
        <w:rPr>
          <w:rFonts w:hint="eastAsia" w:ascii="宋体" w:hAnsi="宋体"/>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0"/>
    </w:p>
    <w:p>
      <w:pPr>
        <w:spacing w:line="360" w:lineRule="auto"/>
        <w:ind w:right="-82" w:firstLine="480" w:firstLineChars="200"/>
        <w:rPr>
          <w:rFonts w:ascii="宋体"/>
          <w:sz w:val="24"/>
          <w:szCs w:val="24"/>
        </w:rPr>
      </w:pPr>
      <w:bookmarkStart w:id="61" w:name="_Toc122510100"/>
      <w:r>
        <w:rPr>
          <w:rFonts w:ascii="宋体" w:hAnsi="宋体"/>
          <w:sz w:val="24"/>
          <w:szCs w:val="24"/>
        </w:rPr>
        <w:t>3.4.3</w:t>
      </w:r>
      <w:r>
        <w:rPr>
          <w:rFonts w:hint="eastAsia" w:ascii="宋体" w:hAnsi="宋体"/>
          <w:sz w:val="24"/>
          <w:szCs w:val="24"/>
        </w:rPr>
        <w:t>为了给投标人合理的时间，使其在准备投标文件材料时充分考虑修改通知中的修改内容，招标人可按规定，酌情延长递交投标书的截止日。</w:t>
      </w:r>
      <w:bookmarkEnd w:id="61"/>
    </w:p>
    <w:p>
      <w:pPr>
        <w:keepNext/>
        <w:keepLines/>
        <w:spacing w:line="360" w:lineRule="auto"/>
        <w:ind w:right="-79"/>
        <w:outlineLvl w:val="0"/>
        <w:rPr>
          <w:rFonts w:ascii="宋体"/>
          <w:b/>
          <w:bCs/>
          <w:kern w:val="44"/>
          <w:sz w:val="28"/>
          <w:szCs w:val="28"/>
        </w:rPr>
      </w:pPr>
      <w:bookmarkStart w:id="62" w:name="_Toc73429374"/>
      <w:bookmarkStart w:id="63" w:name="_Toc104370879"/>
      <w:bookmarkStart w:id="64" w:name="_Toc122510101"/>
      <w:bookmarkStart w:id="65" w:name="_Toc144884196"/>
      <w:bookmarkStart w:id="66" w:name="_Toc226536792"/>
      <w:bookmarkStart w:id="67" w:name="_Toc232936391"/>
      <w:r>
        <w:rPr>
          <w:rFonts w:ascii="宋体" w:hAnsi="宋体"/>
          <w:b/>
          <w:bCs/>
          <w:kern w:val="44"/>
          <w:sz w:val="28"/>
          <w:szCs w:val="28"/>
        </w:rPr>
        <w:t>4.</w:t>
      </w:r>
      <w:r>
        <w:rPr>
          <w:rFonts w:hint="eastAsia" w:ascii="宋体" w:hAnsi="宋体"/>
          <w:b/>
          <w:bCs/>
          <w:kern w:val="44"/>
          <w:sz w:val="28"/>
          <w:szCs w:val="28"/>
        </w:rPr>
        <w:t>投标费用</w:t>
      </w:r>
      <w:bookmarkEnd w:id="62"/>
      <w:bookmarkEnd w:id="63"/>
      <w:bookmarkEnd w:id="64"/>
      <w:bookmarkEnd w:id="65"/>
      <w:bookmarkEnd w:id="66"/>
      <w:bookmarkEnd w:id="67"/>
    </w:p>
    <w:p>
      <w:pPr>
        <w:spacing w:line="360" w:lineRule="auto"/>
        <w:ind w:right="-82" w:firstLine="480" w:firstLineChars="200"/>
        <w:rPr>
          <w:rFonts w:ascii="宋体"/>
          <w:sz w:val="24"/>
          <w:szCs w:val="24"/>
        </w:rPr>
      </w:pPr>
      <w:bookmarkStart w:id="68" w:name="_Toc122510102"/>
      <w:r>
        <w:rPr>
          <w:rFonts w:ascii="宋体" w:hAnsi="宋体"/>
          <w:sz w:val="24"/>
          <w:szCs w:val="24"/>
        </w:rPr>
        <w:t>4.1</w:t>
      </w:r>
      <w:r>
        <w:rPr>
          <w:rFonts w:hint="eastAsia" w:ascii="宋体" w:hAnsi="宋体"/>
          <w:sz w:val="24"/>
          <w:szCs w:val="24"/>
        </w:rPr>
        <w:t>投标人应承担其标书的准备与递交等所涉及的在投标过程中所发生的一切费用，不论投标结果如何，招标人对投标费用不负任何责任。</w:t>
      </w:r>
      <w:bookmarkEnd w:id="68"/>
    </w:p>
    <w:p>
      <w:pPr>
        <w:keepNext/>
        <w:keepLines/>
        <w:spacing w:line="360" w:lineRule="auto"/>
        <w:ind w:right="-79"/>
        <w:outlineLvl w:val="0"/>
        <w:rPr>
          <w:rFonts w:ascii="宋体"/>
          <w:b/>
          <w:bCs/>
          <w:kern w:val="44"/>
          <w:sz w:val="28"/>
          <w:szCs w:val="28"/>
        </w:rPr>
      </w:pPr>
      <w:bookmarkStart w:id="69" w:name="_Toc73429375"/>
      <w:bookmarkStart w:id="70" w:name="_Toc104370880"/>
      <w:bookmarkStart w:id="71" w:name="_Toc122510103"/>
      <w:bookmarkStart w:id="72" w:name="_Toc144884197"/>
      <w:bookmarkStart w:id="73" w:name="_Toc226536793"/>
      <w:bookmarkStart w:id="74" w:name="_Toc232936392"/>
      <w:r>
        <w:rPr>
          <w:rFonts w:ascii="宋体" w:hAnsi="宋体"/>
          <w:b/>
          <w:bCs/>
          <w:kern w:val="44"/>
          <w:sz w:val="28"/>
          <w:szCs w:val="28"/>
        </w:rPr>
        <w:t>5.</w:t>
      </w:r>
      <w:r>
        <w:rPr>
          <w:rFonts w:hint="eastAsia" w:ascii="宋体" w:hAnsi="宋体"/>
          <w:b/>
          <w:bCs/>
          <w:kern w:val="44"/>
          <w:sz w:val="28"/>
          <w:szCs w:val="28"/>
        </w:rPr>
        <w:t>现场踏勘</w:t>
      </w:r>
      <w:bookmarkEnd w:id="69"/>
      <w:bookmarkEnd w:id="70"/>
      <w:bookmarkEnd w:id="71"/>
      <w:bookmarkEnd w:id="72"/>
      <w:bookmarkEnd w:id="73"/>
      <w:bookmarkEnd w:id="74"/>
    </w:p>
    <w:p>
      <w:pPr>
        <w:spacing w:line="360" w:lineRule="auto"/>
        <w:ind w:right="-82" w:firstLine="480" w:firstLineChars="200"/>
        <w:rPr>
          <w:rFonts w:ascii="宋体"/>
          <w:sz w:val="24"/>
          <w:szCs w:val="24"/>
        </w:rPr>
      </w:pPr>
      <w:bookmarkStart w:id="75" w:name="_Toc122510104"/>
      <w:bookmarkStart w:id="76" w:name="_Toc73429376"/>
      <w:bookmarkStart w:id="77" w:name="_Toc104370881"/>
      <w:bookmarkStart w:id="78" w:name="_Toc122510107"/>
      <w:bookmarkStart w:id="79" w:name="_Toc144884198"/>
      <w:r>
        <w:rPr>
          <w:rFonts w:ascii="宋体" w:hAnsi="宋体"/>
          <w:sz w:val="24"/>
          <w:szCs w:val="24"/>
        </w:rPr>
        <w:t>5.1</w:t>
      </w:r>
      <w:r>
        <w:rPr>
          <w:rFonts w:hint="eastAsia" w:ascii="宋体" w:hAnsi="宋体"/>
          <w:b/>
          <w:sz w:val="24"/>
          <w:szCs w:val="24"/>
        </w:rPr>
        <w:t>投标人应踏勘现场</w:t>
      </w:r>
      <w:r>
        <w:rPr>
          <w:rFonts w:hint="eastAsia" w:ascii="宋体" w:hAnsi="宋体"/>
          <w:sz w:val="24"/>
          <w:szCs w:val="24"/>
        </w:rPr>
        <w:t>，熟悉施工现场及周围地形、地貌、水文、地质、交通道路等情况，以获取参加本次投标所需的所有资料。因投标人未进行现场踏勘或现场踏勘不充分而造成的后果由投标人自行负责。中标后，不得以不完全了解现场情况为理由而提出额外付款等索赔的要求。对此类要求，招标人将不作任何答复与考虑。现场踏勘的费用由投标人承担。</w:t>
      </w:r>
    </w:p>
    <w:p>
      <w:pPr>
        <w:spacing w:line="360" w:lineRule="auto"/>
        <w:ind w:right="-82" w:firstLine="480" w:firstLineChars="200"/>
        <w:rPr>
          <w:rFonts w:ascii="宋体"/>
          <w:sz w:val="24"/>
          <w:szCs w:val="24"/>
        </w:rPr>
      </w:pPr>
      <w:r>
        <w:rPr>
          <w:rFonts w:ascii="宋体" w:hAnsi="宋体"/>
          <w:sz w:val="24"/>
          <w:szCs w:val="24"/>
        </w:rPr>
        <w:t>5.2</w:t>
      </w:r>
      <w:r>
        <w:rPr>
          <w:rFonts w:hint="eastAsia" w:ascii="宋体" w:hAnsi="宋体"/>
          <w:sz w:val="24"/>
          <w:szCs w:val="24"/>
        </w:rPr>
        <w:t>招标人向投标人提供的有关现场的资料和数据，是招标人现有的能供投标人利用的资料。招标人对投标人据此作出的理解、推论及结论不承担任何责任。</w:t>
      </w:r>
    </w:p>
    <w:p>
      <w:pPr>
        <w:spacing w:line="360" w:lineRule="auto"/>
        <w:ind w:right="-82" w:firstLine="480" w:firstLineChars="200"/>
        <w:rPr>
          <w:rFonts w:ascii="宋体"/>
          <w:sz w:val="24"/>
          <w:szCs w:val="24"/>
        </w:rPr>
      </w:pPr>
      <w:r>
        <w:rPr>
          <w:rFonts w:ascii="宋体" w:hAnsi="宋体"/>
          <w:sz w:val="24"/>
          <w:szCs w:val="24"/>
        </w:rPr>
        <w:t>5.3</w:t>
      </w:r>
      <w:r>
        <w:rPr>
          <w:rFonts w:hint="eastAsia" w:ascii="宋体" w:hAnsi="宋体"/>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bookmarkEnd w:id="75"/>
    <w:p>
      <w:pPr>
        <w:keepNext/>
        <w:keepLines/>
        <w:spacing w:line="360" w:lineRule="auto"/>
        <w:ind w:right="-79"/>
        <w:outlineLvl w:val="0"/>
        <w:rPr>
          <w:rFonts w:ascii="宋体"/>
          <w:b/>
          <w:bCs/>
          <w:kern w:val="44"/>
          <w:sz w:val="28"/>
          <w:szCs w:val="28"/>
        </w:rPr>
      </w:pPr>
      <w:bookmarkStart w:id="80" w:name="_Toc226536794"/>
      <w:bookmarkStart w:id="81" w:name="_Toc232936393"/>
      <w:r>
        <w:rPr>
          <w:rFonts w:ascii="宋体" w:hAnsi="宋体"/>
          <w:b/>
          <w:bCs/>
          <w:kern w:val="44"/>
          <w:sz w:val="28"/>
          <w:szCs w:val="28"/>
        </w:rPr>
        <w:t>6.</w:t>
      </w:r>
      <w:r>
        <w:rPr>
          <w:rFonts w:hint="eastAsia" w:ascii="宋体" w:hAnsi="宋体"/>
          <w:b/>
          <w:bCs/>
          <w:kern w:val="44"/>
          <w:sz w:val="28"/>
          <w:szCs w:val="28"/>
        </w:rPr>
        <w:t>投标文件</w:t>
      </w:r>
      <w:bookmarkEnd w:id="76"/>
      <w:bookmarkEnd w:id="77"/>
      <w:bookmarkEnd w:id="78"/>
      <w:bookmarkEnd w:id="79"/>
      <w:bookmarkEnd w:id="80"/>
      <w:bookmarkEnd w:id="81"/>
    </w:p>
    <w:p>
      <w:pPr>
        <w:spacing w:line="360" w:lineRule="auto"/>
        <w:ind w:right="-82" w:firstLine="480" w:firstLineChars="200"/>
        <w:rPr>
          <w:rFonts w:ascii="宋体"/>
          <w:sz w:val="24"/>
          <w:szCs w:val="24"/>
        </w:rPr>
      </w:pPr>
      <w:r>
        <w:rPr>
          <w:rFonts w:ascii="宋体" w:hAnsi="宋体"/>
          <w:sz w:val="24"/>
          <w:szCs w:val="24"/>
        </w:rPr>
        <w:t>6.1</w:t>
      </w:r>
      <w:r>
        <w:rPr>
          <w:rFonts w:hint="eastAsia" w:ascii="宋体" w:hAnsi="宋体"/>
          <w:sz w:val="24"/>
          <w:szCs w:val="24"/>
        </w:rPr>
        <w:t>投标文件的组成</w:t>
      </w:r>
    </w:p>
    <w:p>
      <w:pPr>
        <w:spacing w:line="360" w:lineRule="auto"/>
        <w:ind w:right="-82" w:firstLine="482" w:firstLineChars="200"/>
        <w:rPr>
          <w:rFonts w:ascii="宋体"/>
          <w:b/>
          <w:sz w:val="24"/>
          <w:szCs w:val="24"/>
        </w:rPr>
      </w:pPr>
      <w:r>
        <w:rPr>
          <w:rFonts w:hint="eastAsia" w:ascii="宋体" w:hAnsi="宋体"/>
          <w:b/>
          <w:sz w:val="24"/>
          <w:szCs w:val="24"/>
        </w:rPr>
        <w:t>投标文件分商务和技术两部分。</w:t>
      </w:r>
    </w:p>
    <w:p>
      <w:pPr>
        <w:spacing w:line="360" w:lineRule="auto"/>
        <w:ind w:firstLine="472" w:firstLineChars="196"/>
        <w:rPr>
          <w:rFonts w:ascii="宋体"/>
          <w:b/>
          <w:sz w:val="24"/>
          <w:szCs w:val="24"/>
        </w:rPr>
      </w:pPr>
      <w:r>
        <w:rPr>
          <w:rFonts w:ascii="宋体" w:hAnsi="宋体"/>
          <w:b/>
          <w:sz w:val="24"/>
          <w:szCs w:val="24"/>
        </w:rPr>
        <w:t>6.1.1</w:t>
      </w:r>
      <w:r>
        <w:rPr>
          <w:rFonts w:hint="eastAsia" w:ascii="宋体" w:hAnsi="宋体"/>
          <w:b/>
          <w:sz w:val="24"/>
          <w:szCs w:val="24"/>
        </w:rPr>
        <w:t>商务部分包括下列内容：</w:t>
      </w:r>
    </w:p>
    <w:p>
      <w:pPr>
        <w:spacing w:line="360" w:lineRule="auto"/>
        <w:ind w:firstLine="480" w:firstLineChars="200"/>
        <w:rPr>
          <w:rFonts w:ascii="宋体" w:hAnsi="宋体"/>
          <w:sz w:val="24"/>
          <w:szCs w:val="24"/>
        </w:rPr>
      </w:pPr>
      <w:r>
        <w:rPr>
          <w:rFonts w:hint="eastAsia" w:ascii="宋体" w:hAnsi="宋体"/>
          <w:sz w:val="24"/>
          <w:szCs w:val="24"/>
        </w:rPr>
        <w:t>（1）投标函；</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法定代表人身份证明或附有法定代表人身份证明的授权委托书</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（3）监理企业和监理人员未因违法违规被限制参加相应项目投标的且近三年内没有被相关行政监督部门记入不良行为的书面声明、保证投标文件及所有证照真实无假的承诺；</w:t>
      </w:r>
    </w:p>
    <w:p>
      <w:pPr>
        <w:spacing w:line="360" w:lineRule="auto"/>
        <w:ind w:firstLine="480" w:firstLineChars="200"/>
        <w:rPr>
          <w:rFonts w:ascii="宋体" w:hAnsi="宋体"/>
          <w:sz w:val="24"/>
          <w:szCs w:val="24"/>
        </w:rPr>
      </w:pPr>
      <w:r>
        <w:rPr>
          <w:rFonts w:hint="eastAsia" w:ascii="宋体" w:hAnsi="宋体"/>
          <w:sz w:val="24"/>
          <w:szCs w:val="24"/>
        </w:rPr>
        <w:t>（4）投标人加盖公章的监理资质证书、营业执照、拟投入本项目总监及监理人员资格证书、劳动合同复印件及社会保险参保缴费证明。</w:t>
      </w:r>
    </w:p>
    <w:p>
      <w:pPr>
        <w:spacing w:line="360" w:lineRule="auto"/>
        <w:ind w:firstLine="480" w:firstLineChars="200"/>
        <w:rPr>
          <w:rFonts w:ascii="宋体" w:hAnsi="宋体"/>
          <w:sz w:val="24"/>
          <w:szCs w:val="24"/>
        </w:rPr>
      </w:pPr>
      <w:r>
        <w:rPr>
          <w:rFonts w:hint="eastAsia" w:ascii="宋体" w:hAnsi="宋体"/>
          <w:sz w:val="24"/>
          <w:szCs w:val="24"/>
        </w:rPr>
        <w:t>（5）企业概况及业绩：</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GB3 </w:instrText>
      </w:r>
      <w:r>
        <w:rPr>
          <w:rFonts w:ascii="宋体" w:hAnsi="宋体"/>
          <w:sz w:val="24"/>
          <w:szCs w:val="24"/>
        </w:rPr>
        <w:fldChar w:fldCharType="separate"/>
      </w:r>
      <w:r>
        <w:rPr>
          <w:rFonts w:hint="eastAsia" w:ascii="宋体" w:hAnsi="宋体"/>
          <w:sz w:val="24"/>
          <w:szCs w:val="24"/>
        </w:rPr>
        <w:t>①</w:t>
      </w:r>
      <w:r>
        <w:rPr>
          <w:rFonts w:ascii="宋体" w:hAnsi="宋体"/>
          <w:sz w:val="24"/>
          <w:szCs w:val="24"/>
        </w:rPr>
        <w:fldChar w:fldCharType="end"/>
      </w:r>
      <w:r>
        <w:rPr>
          <w:rFonts w:hint="eastAsia" w:ascii="宋体" w:hAnsi="宋体"/>
          <w:sz w:val="24"/>
          <w:szCs w:val="24"/>
        </w:rPr>
        <w:t xml:space="preserve">企业现有监理人员情况（见附表）  </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 2 \* GB3 </w:instrText>
      </w:r>
      <w:r>
        <w:rPr>
          <w:rFonts w:ascii="宋体" w:hAnsi="宋体"/>
          <w:sz w:val="24"/>
          <w:szCs w:val="24"/>
        </w:rPr>
        <w:fldChar w:fldCharType="separate"/>
      </w:r>
      <w:r>
        <w:rPr>
          <w:rFonts w:hint="eastAsia" w:ascii="宋体" w:hAnsi="宋体"/>
          <w:sz w:val="24"/>
          <w:szCs w:val="24"/>
        </w:rPr>
        <w:t>②</w:t>
      </w:r>
      <w:r>
        <w:rPr>
          <w:rFonts w:ascii="宋体" w:hAnsi="宋体"/>
          <w:sz w:val="24"/>
          <w:szCs w:val="24"/>
        </w:rPr>
        <w:fldChar w:fldCharType="end"/>
      </w:r>
      <w:r>
        <w:rPr>
          <w:rFonts w:hint="eastAsia" w:ascii="宋体" w:hAnsi="宋体"/>
          <w:sz w:val="24"/>
          <w:szCs w:val="24"/>
        </w:rPr>
        <w:t>在监工程及监理人员分布情况一览表（见附表）</w:t>
      </w:r>
    </w:p>
    <w:p>
      <w:pPr>
        <w:spacing w:line="360" w:lineRule="auto"/>
        <w:ind w:firstLine="480" w:firstLineChars="20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GB3 </w:instrText>
      </w:r>
      <w:r>
        <w:rPr>
          <w:rFonts w:ascii="宋体" w:hAnsi="宋体"/>
          <w:sz w:val="24"/>
          <w:szCs w:val="24"/>
        </w:rPr>
        <w:fldChar w:fldCharType="separate"/>
      </w:r>
      <w:r>
        <w:rPr>
          <w:rFonts w:hint="eastAsia" w:ascii="宋体" w:hAnsi="宋体"/>
          <w:sz w:val="24"/>
          <w:szCs w:val="24"/>
        </w:rPr>
        <w:t>③</w:t>
      </w:r>
      <w:r>
        <w:rPr>
          <w:rFonts w:ascii="宋体" w:hAnsi="宋体"/>
          <w:sz w:val="24"/>
          <w:szCs w:val="24"/>
        </w:rPr>
        <w:fldChar w:fldCharType="end"/>
      </w:r>
      <w:r>
        <w:rPr>
          <w:rFonts w:hint="eastAsia" w:ascii="宋体" w:hAnsi="宋体"/>
          <w:sz w:val="24"/>
          <w:szCs w:val="24"/>
        </w:rPr>
        <w:t>近三年（以开标时间为准）来监理完成类似工程一览表（见附表）</w:t>
      </w:r>
    </w:p>
    <w:p>
      <w:pPr>
        <w:spacing w:line="360" w:lineRule="auto"/>
        <w:ind w:firstLine="480" w:firstLineChars="200"/>
        <w:rPr>
          <w:rFonts w:ascii="宋体" w:hAnsi="宋体"/>
          <w:sz w:val="24"/>
          <w:szCs w:val="24"/>
        </w:rPr>
      </w:pPr>
      <w:r>
        <w:rPr>
          <w:rFonts w:hint="eastAsia" w:ascii="宋体" w:hAnsi="宋体"/>
          <w:sz w:val="24"/>
          <w:szCs w:val="24"/>
        </w:rPr>
        <w:t>（6）本项目监理机构组成：组织机构合理、专业人员配备齐全，要求有详细的监理组织机构和人员配备情况说明。</w:t>
      </w:r>
    </w:p>
    <w:p>
      <w:pPr>
        <w:spacing w:line="360" w:lineRule="auto"/>
        <w:ind w:firstLine="480" w:firstLineChars="200"/>
        <w:rPr>
          <w:rFonts w:ascii="宋体" w:hAnsi="宋体"/>
          <w:sz w:val="24"/>
          <w:szCs w:val="24"/>
        </w:rPr>
      </w:pPr>
      <w:r>
        <w:rPr>
          <w:rFonts w:hint="eastAsia" w:ascii="宋体" w:hAnsi="宋体"/>
          <w:sz w:val="24"/>
          <w:szCs w:val="24"/>
        </w:rPr>
        <w:t>保证总监及监理人员高素质的措施；</w:t>
      </w:r>
    </w:p>
    <w:p>
      <w:pPr>
        <w:spacing w:line="360" w:lineRule="auto"/>
        <w:ind w:firstLine="480" w:firstLineChars="200"/>
        <w:rPr>
          <w:rFonts w:ascii="宋体" w:hAnsi="宋体"/>
          <w:sz w:val="24"/>
          <w:szCs w:val="24"/>
        </w:rPr>
      </w:pPr>
      <w:r>
        <w:rPr>
          <w:rFonts w:hint="eastAsia" w:ascii="宋体" w:hAnsi="宋体"/>
          <w:sz w:val="24"/>
          <w:szCs w:val="24"/>
        </w:rPr>
        <w:t>保证监理机构稳定性的措施；</w:t>
      </w:r>
    </w:p>
    <w:p>
      <w:pPr>
        <w:spacing w:line="360" w:lineRule="auto"/>
        <w:ind w:firstLine="480" w:firstLineChars="200"/>
        <w:rPr>
          <w:rFonts w:ascii="宋体" w:hAnsi="宋体"/>
          <w:sz w:val="24"/>
          <w:szCs w:val="24"/>
        </w:rPr>
      </w:pPr>
      <w:r>
        <w:rPr>
          <w:rFonts w:hint="eastAsia" w:ascii="宋体" w:hAnsi="宋体"/>
          <w:sz w:val="24"/>
          <w:szCs w:val="24"/>
        </w:rPr>
        <w:t>保证监理机构成员只为该工程项目服务的措施。</w:t>
      </w:r>
    </w:p>
    <w:p>
      <w:pPr>
        <w:spacing w:line="360" w:lineRule="auto"/>
        <w:ind w:firstLine="480" w:firstLineChars="200"/>
        <w:rPr>
          <w:rFonts w:ascii="宋体" w:hAnsi="宋体"/>
          <w:sz w:val="24"/>
          <w:szCs w:val="24"/>
        </w:rPr>
      </w:pPr>
      <w:r>
        <w:rPr>
          <w:rFonts w:hint="eastAsia" w:ascii="宋体" w:hAnsi="宋体"/>
          <w:sz w:val="24"/>
          <w:szCs w:val="24"/>
        </w:rPr>
        <w:t>（7）项目总监情况：要求为国家注册监理工程师，且具有类似工程施工管理经验，业绩突出。要求提供详细的项目总监的个人资料，包括：现任职务、学历、职称、监理业绩等。</w:t>
      </w:r>
    </w:p>
    <w:p>
      <w:pPr>
        <w:spacing w:line="360" w:lineRule="auto"/>
        <w:ind w:firstLine="480" w:firstLineChars="200"/>
        <w:rPr>
          <w:rFonts w:ascii="宋体" w:hAnsi="宋体"/>
          <w:sz w:val="24"/>
          <w:szCs w:val="24"/>
        </w:rPr>
      </w:pPr>
      <w:r>
        <w:rPr>
          <w:rFonts w:hint="eastAsia" w:ascii="宋体" w:hAnsi="宋体"/>
          <w:sz w:val="24"/>
          <w:szCs w:val="24"/>
        </w:rPr>
        <w:t>（8）拟投入本项目监理人员情况：要求取得国家注册监理工程师资格《注册监理工程岗位证书》或监理人员《上岗证》。要求写明年龄、学历、职称、各专业人员的监理到位时间、监理业绩（见附表）。</w:t>
      </w:r>
    </w:p>
    <w:p>
      <w:pPr>
        <w:spacing w:line="360" w:lineRule="auto"/>
        <w:ind w:firstLine="361" w:firstLineChars="150"/>
        <w:rPr>
          <w:rFonts w:ascii="仿宋_GB2312" w:hAnsi="宋体" w:eastAsia="仿宋_GB2312" w:cs="宋体"/>
          <w:sz w:val="32"/>
          <w:szCs w:val="32"/>
        </w:rPr>
      </w:pPr>
      <w:r>
        <w:rPr>
          <w:rFonts w:hint="eastAsia" w:ascii="宋体" w:hAnsi="宋体"/>
          <w:b/>
          <w:sz w:val="24"/>
          <w:szCs w:val="24"/>
          <w:highlight w:val="yellow"/>
        </w:rPr>
        <w:t>监理项目部人员配备要求：根据工程现场施工情况配备土建或安装监理工程师，常驻工地监理人员1人。</w:t>
      </w:r>
    </w:p>
    <w:p>
      <w:pPr>
        <w:spacing w:line="360" w:lineRule="auto"/>
        <w:ind w:firstLine="480" w:firstLineChars="200"/>
        <w:rPr>
          <w:rFonts w:ascii="宋体" w:hAnsi="宋体"/>
          <w:sz w:val="24"/>
          <w:szCs w:val="24"/>
        </w:rPr>
      </w:pPr>
      <w:r>
        <w:rPr>
          <w:rFonts w:hint="eastAsia" w:ascii="宋体" w:hAnsi="宋体"/>
          <w:sz w:val="24"/>
          <w:szCs w:val="24"/>
        </w:rPr>
        <w:t>（9）检测设备及交通、通讯工具：要求列表说明投入本工程项目检测设备的规格、型号、用途、何时通过法定部门的检验；提供足够的交通、通讯工具，应满足与建设单位、设计单位、施工单位之间的联系沟通。</w:t>
      </w:r>
    </w:p>
    <w:p>
      <w:pPr>
        <w:spacing w:line="360" w:lineRule="auto"/>
        <w:ind w:left="372" w:leftChars="177" w:firstLine="120" w:firstLineChars="50"/>
        <w:rPr>
          <w:rFonts w:ascii="宋体" w:hAnsi="宋体"/>
          <w:b/>
          <w:sz w:val="24"/>
          <w:szCs w:val="24"/>
        </w:rPr>
      </w:pPr>
      <w:r>
        <w:rPr>
          <w:rFonts w:ascii="宋体" w:hAnsi="宋体"/>
          <w:b/>
          <w:sz w:val="24"/>
          <w:szCs w:val="24"/>
        </w:rPr>
        <w:t xml:space="preserve">6.1.2 </w:t>
      </w:r>
      <w:r>
        <w:rPr>
          <w:rFonts w:hint="eastAsia" w:ascii="宋体" w:hAnsi="宋体"/>
          <w:b/>
          <w:bCs/>
          <w:sz w:val="24"/>
          <w:szCs w:val="24"/>
        </w:rPr>
        <w:t>技术部分主要内容为监理服务工作大纲，应包括下列内容：</w:t>
      </w:r>
      <w:r>
        <w:rPr>
          <w:rFonts w:ascii="宋体" w:hAnsi="宋体"/>
          <w:b/>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（1）项目概述；</w:t>
      </w:r>
    </w:p>
    <w:p>
      <w:pPr>
        <w:spacing w:line="360" w:lineRule="auto"/>
        <w:ind w:firstLine="480" w:firstLineChars="200"/>
        <w:rPr>
          <w:rFonts w:ascii="宋体" w:hAnsi="宋体"/>
          <w:sz w:val="24"/>
          <w:szCs w:val="24"/>
        </w:rPr>
      </w:pPr>
      <w:r>
        <w:rPr>
          <w:rFonts w:hint="eastAsia" w:ascii="宋体" w:hAnsi="宋体"/>
          <w:sz w:val="24"/>
          <w:szCs w:val="24"/>
        </w:rPr>
        <w:t>（2）监理工作的指导思想和监理目标；</w:t>
      </w:r>
    </w:p>
    <w:p>
      <w:pPr>
        <w:spacing w:line="360" w:lineRule="auto"/>
        <w:ind w:firstLine="480" w:firstLineChars="200"/>
        <w:rPr>
          <w:rFonts w:ascii="宋体" w:hAnsi="宋体"/>
          <w:sz w:val="24"/>
          <w:szCs w:val="24"/>
        </w:rPr>
      </w:pPr>
      <w:r>
        <w:rPr>
          <w:rFonts w:hint="eastAsia" w:ascii="宋体" w:hAnsi="宋体"/>
          <w:sz w:val="24"/>
          <w:szCs w:val="24"/>
        </w:rPr>
        <w:t>（3）质量控制措施，按照旁站监理管理办法规定，明确本次招标工程应旁站的监理范围、关键部位、关键工序；</w:t>
      </w:r>
    </w:p>
    <w:p>
      <w:pPr>
        <w:spacing w:line="360" w:lineRule="auto"/>
        <w:ind w:firstLine="480" w:firstLineChars="200"/>
        <w:rPr>
          <w:rFonts w:ascii="宋体" w:hAnsi="宋体"/>
          <w:sz w:val="24"/>
          <w:szCs w:val="24"/>
        </w:rPr>
      </w:pPr>
      <w:r>
        <w:rPr>
          <w:rFonts w:hint="eastAsia" w:ascii="宋体" w:hAnsi="宋体"/>
          <w:sz w:val="24"/>
          <w:szCs w:val="24"/>
        </w:rPr>
        <w:t>（4）投资控制措施；</w:t>
      </w:r>
    </w:p>
    <w:p>
      <w:pPr>
        <w:spacing w:line="360" w:lineRule="auto"/>
        <w:ind w:firstLine="480" w:firstLineChars="200"/>
        <w:rPr>
          <w:rFonts w:ascii="宋体" w:hAnsi="宋体"/>
          <w:sz w:val="24"/>
          <w:szCs w:val="24"/>
        </w:rPr>
      </w:pPr>
      <w:r>
        <w:rPr>
          <w:rFonts w:hint="eastAsia" w:ascii="宋体" w:hAnsi="宋体"/>
          <w:sz w:val="24"/>
          <w:szCs w:val="24"/>
        </w:rPr>
        <w:t>（5）进度控制措施；</w:t>
      </w:r>
    </w:p>
    <w:p>
      <w:pPr>
        <w:spacing w:line="360" w:lineRule="auto"/>
        <w:ind w:firstLine="480" w:firstLineChars="200"/>
        <w:rPr>
          <w:rFonts w:ascii="宋体" w:hAnsi="宋体"/>
          <w:sz w:val="24"/>
          <w:szCs w:val="24"/>
        </w:rPr>
      </w:pPr>
      <w:r>
        <w:rPr>
          <w:rFonts w:hint="eastAsia" w:ascii="宋体" w:hAnsi="宋体"/>
          <w:sz w:val="24"/>
          <w:szCs w:val="24"/>
        </w:rPr>
        <w:t>（6）合同管理措施；</w:t>
      </w:r>
    </w:p>
    <w:p>
      <w:pPr>
        <w:spacing w:line="360" w:lineRule="auto"/>
        <w:ind w:firstLine="480" w:firstLineChars="200"/>
        <w:rPr>
          <w:rFonts w:ascii="宋体" w:hAnsi="宋体"/>
          <w:sz w:val="24"/>
          <w:szCs w:val="24"/>
        </w:rPr>
      </w:pPr>
      <w:r>
        <w:rPr>
          <w:rFonts w:hint="eastAsia" w:ascii="宋体" w:hAnsi="宋体"/>
          <w:sz w:val="24"/>
          <w:szCs w:val="24"/>
        </w:rPr>
        <w:t>（7）信息管理措施；</w:t>
      </w:r>
    </w:p>
    <w:p>
      <w:pPr>
        <w:spacing w:line="360" w:lineRule="auto"/>
        <w:ind w:firstLine="480" w:firstLineChars="200"/>
        <w:rPr>
          <w:rFonts w:ascii="宋体" w:hAnsi="宋体"/>
          <w:sz w:val="24"/>
          <w:szCs w:val="24"/>
        </w:rPr>
      </w:pPr>
      <w:r>
        <w:rPr>
          <w:rFonts w:hint="eastAsia" w:ascii="宋体" w:hAnsi="宋体"/>
          <w:sz w:val="24"/>
          <w:szCs w:val="24"/>
        </w:rPr>
        <w:t>（8）组织协调措施；</w:t>
      </w:r>
    </w:p>
    <w:p>
      <w:pPr>
        <w:spacing w:line="360" w:lineRule="auto"/>
        <w:ind w:firstLine="480" w:firstLineChars="200"/>
        <w:rPr>
          <w:rFonts w:ascii="宋体" w:hAnsi="宋体"/>
          <w:sz w:val="24"/>
          <w:szCs w:val="24"/>
        </w:rPr>
      </w:pPr>
      <w:r>
        <w:rPr>
          <w:rFonts w:hint="eastAsia" w:ascii="宋体" w:hAnsi="宋体"/>
          <w:sz w:val="24"/>
          <w:szCs w:val="24"/>
        </w:rPr>
        <w:t>（9）旁站监理：按照旁站监理管理办法规定，明确本次投标工程旁站监理范围（必须明确到旁站部位）内容；</w:t>
      </w:r>
    </w:p>
    <w:p>
      <w:pPr>
        <w:spacing w:line="360" w:lineRule="auto"/>
        <w:ind w:firstLine="480" w:firstLineChars="200"/>
        <w:rPr>
          <w:rFonts w:ascii="宋体" w:hAnsi="宋体"/>
          <w:sz w:val="24"/>
          <w:szCs w:val="24"/>
        </w:rPr>
      </w:pPr>
      <w:r>
        <w:rPr>
          <w:rFonts w:hint="eastAsia" w:ascii="宋体" w:hAnsi="宋体"/>
          <w:sz w:val="24"/>
          <w:szCs w:val="24"/>
        </w:rPr>
        <w:t>（10）质量保修期的监理方法；</w:t>
      </w:r>
    </w:p>
    <w:p>
      <w:pPr>
        <w:spacing w:line="360" w:lineRule="auto"/>
        <w:ind w:firstLine="480" w:firstLineChars="200"/>
        <w:rPr>
          <w:rFonts w:ascii="宋体" w:hAnsi="宋体"/>
          <w:sz w:val="24"/>
          <w:szCs w:val="24"/>
        </w:rPr>
      </w:pPr>
      <w:r>
        <w:rPr>
          <w:rFonts w:hint="eastAsia" w:ascii="宋体" w:hAnsi="宋体"/>
          <w:sz w:val="24"/>
          <w:szCs w:val="24"/>
        </w:rPr>
        <w:t>（11）各项工作制度。</w:t>
      </w:r>
    </w:p>
    <w:p>
      <w:pPr>
        <w:spacing w:line="360" w:lineRule="auto"/>
        <w:ind w:right="-82" w:firstLine="482" w:firstLineChars="200"/>
        <w:rPr>
          <w:rFonts w:ascii="宋体" w:hAnsi="宋体"/>
          <w:sz w:val="24"/>
          <w:szCs w:val="24"/>
        </w:rPr>
      </w:pPr>
      <w:r>
        <w:rPr>
          <w:rFonts w:ascii="宋体" w:hAnsi="宋体"/>
          <w:b/>
          <w:sz w:val="24"/>
          <w:szCs w:val="24"/>
        </w:rPr>
        <w:t>6.2</w:t>
      </w:r>
      <w:r>
        <w:rPr>
          <w:rFonts w:hint="eastAsia" w:ascii="宋体" w:hAnsi="宋体"/>
          <w:b/>
          <w:sz w:val="24"/>
        </w:rPr>
        <w:t>投标报价注意事项：</w:t>
      </w:r>
    </w:p>
    <w:p>
      <w:pPr>
        <w:pStyle w:val="48"/>
        <w:shd w:val="clear" w:color="auto" w:fill="FFFFFF"/>
        <w:spacing w:before="0" w:beforeAutospacing="0" w:after="0" w:afterAutospacing="0" w:line="360" w:lineRule="auto"/>
        <w:ind w:firstLine="518" w:firstLineChars="200"/>
        <w:rPr>
          <w:b/>
          <w:color w:val="000000"/>
          <w:spacing w:val="-9"/>
        </w:rPr>
      </w:pPr>
      <w:r>
        <w:rPr>
          <w:rFonts w:hint="eastAsia"/>
          <w:b/>
          <w:color w:val="000000"/>
          <w:spacing w:val="9"/>
        </w:rPr>
        <w:t>投标人以总报价的形式报价，该投标报价应是招标文件所确定的招标范围内全部工作内容的价格表现。投标报价应包括直接成本（现场监理人员工资及差旅费、补助费等用于工程监理人员的其他专项开支、本工程监理期间与监理工作常规实验检测费用等）、间接成本费（公司管理人员工资、行政办公费、业务培训费、新技术开发研制费用等）、税金、利润等完成本工程监理工作所需的全部费用。各投标人可根据监理范围、监理工期、监理内容和要求、现场踏勘情况等，结合自身技术与管理水平、监理能力、市场风险等</w:t>
      </w:r>
      <w:r>
        <w:rPr>
          <w:rFonts w:hint="eastAsia"/>
          <w:b/>
          <w:color w:val="000000"/>
          <w:spacing w:val="-9"/>
        </w:rPr>
        <w:t>因素自行报价。</w:t>
      </w:r>
    </w:p>
    <w:p>
      <w:pPr>
        <w:pStyle w:val="49"/>
        <w:spacing w:line="360" w:lineRule="auto"/>
        <w:ind w:firstLine="564" w:firstLineChars="218"/>
        <w:rPr>
          <w:rFonts w:ascii="宋体" w:hAnsi="宋体" w:eastAsia="宋体" w:cs="宋体"/>
          <w:b/>
          <w:color w:val="000000"/>
          <w:spacing w:val="9"/>
          <w:kern w:val="0"/>
          <w:sz w:val="24"/>
          <w:szCs w:val="24"/>
        </w:rPr>
      </w:pPr>
      <w:r>
        <w:rPr>
          <w:rFonts w:hint="eastAsia" w:ascii="宋体" w:hAnsi="宋体" w:eastAsia="宋体" w:cs="宋体"/>
          <w:b/>
          <w:color w:val="000000"/>
          <w:spacing w:val="9"/>
          <w:kern w:val="0"/>
          <w:sz w:val="24"/>
          <w:szCs w:val="24"/>
        </w:rPr>
        <w:t>报价组成明细表格式由投标人自行拟定。</w:t>
      </w:r>
    </w:p>
    <w:p>
      <w:pPr>
        <w:spacing w:line="360" w:lineRule="auto"/>
        <w:ind w:right="-82" w:firstLine="482" w:firstLineChars="200"/>
        <w:rPr>
          <w:rFonts w:ascii="宋体" w:hAnsi="宋体"/>
          <w:b/>
          <w:sz w:val="24"/>
          <w:szCs w:val="24"/>
        </w:rPr>
      </w:pPr>
      <w:r>
        <w:rPr>
          <w:rFonts w:hint="eastAsia" w:ascii="宋体" w:hAnsi="宋体"/>
          <w:b/>
          <w:sz w:val="24"/>
          <w:szCs w:val="24"/>
          <w:highlight w:val="yellow"/>
        </w:rPr>
        <w:t>投标人所填报的监理总</w:t>
      </w:r>
      <w:r>
        <w:rPr>
          <w:rFonts w:hint="eastAsia" w:ascii="宋体" w:hAnsi="宋体" w:cs="宋体"/>
          <w:b/>
          <w:color w:val="000000"/>
          <w:spacing w:val="9"/>
          <w:kern w:val="0"/>
          <w:sz w:val="24"/>
          <w:szCs w:val="24"/>
          <w:highlight w:val="yellow"/>
        </w:rPr>
        <w:t>酬金</w:t>
      </w:r>
      <w:r>
        <w:rPr>
          <w:rFonts w:hint="eastAsia" w:ascii="宋体" w:hAnsi="宋体"/>
          <w:b/>
          <w:sz w:val="24"/>
          <w:szCs w:val="24"/>
          <w:highlight w:val="yellow"/>
        </w:rPr>
        <w:t>在合同实施期间不因市场和政策变化因素而变动。</w:t>
      </w:r>
      <w:r>
        <w:rPr>
          <w:rFonts w:hint="eastAsia" w:ascii="宋体" w:hAnsi="宋体"/>
          <w:b/>
          <w:sz w:val="24"/>
          <w:szCs w:val="24"/>
        </w:rPr>
        <w:t>　</w:t>
      </w:r>
    </w:p>
    <w:p>
      <w:pPr>
        <w:spacing w:line="360" w:lineRule="auto"/>
        <w:ind w:right="-82" w:firstLine="482" w:firstLineChars="200"/>
        <w:rPr>
          <w:rFonts w:ascii="宋体" w:hAnsi="宋体"/>
          <w:b/>
          <w:sz w:val="24"/>
          <w:szCs w:val="24"/>
        </w:rPr>
      </w:pPr>
      <w:r>
        <w:rPr>
          <w:rFonts w:hint="eastAsia" w:ascii="宋体" w:hAnsi="宋体"/>
          <w:b/>
          <w:sz w:val="24"/>
          <w:szCs w:val="24"/>
        </w:rPr>
        <w:t>监理人派驻现场人员的人身意外保险及设施等财产的有关保险由监理人自行办理及承担费用，由于监理人未按本款规定投标所造成的一切损失后索赔，均由监理人自行承担。</w:t>
      </w:r>
    </w:p>
    <w:p>
      <w:pPr>
        <w:pStyle w:val="48"/>
        <w:shd w:val="clear" w:color="auto" w:fill="FFFFFF"/>
        <w:spacing w:before="0" w:beforeAutospacing="0" w:after="0" w:afterAutospacing="0" w:line="360" w:lineRule="auto"/>
        <w:ind w:firstLine="482" w:firstLineChars="200"/>
        <w:rPr>
          <w:rFonts w:cs="Times New Roman"/>
          <w:b/>
          <w:kern w:val="2"/>
          <w:highlight w:val="yellow"/>
        </w:rPr>
      </w:pPr>
      <w:r>
        <w:rPr>
          <w:rFonts w:hint="eastAsia" w:cs="Times New Roman"/>
          <w:b/>
          <w:kern w:val="2"/>
          <w:highlight w:val="yellow"/>
        </w:rPr>
        <w:t>投标报价一次性包死，停工期间不计取酬金。</w:t>
      </w:r>
    </w:p>
    <w:p>
      <w:pPr>
        <w:pStyle w:val="49"/>
        <w:spacing w:line="360" w:lineRule="auto"/>
        <w:ind w:firstLine="525" w:firstLineChars="218"/>
        <w:rPr>
          <w:rFonts w:ascii="宋体" w:hAnsi="宋体" w:eastAsia="宋体"/>
          <w:b/>
          <w:sz w:val="24"/>
          <w:szCs w:val="24"/>
          <w:highlight w:val="yellow"/>
        </w:rPr>
      </w:pPr>
      <w:r>
        <w:rPr>
          <w:rFonts w:hint="eastAsia" w:ascii="宋体" w:hAnsi="宋体" w:eastAsia="宋体"/>
          <w:b/>
          <w:sz w:val="24"/>
          <w:szCs w:val="24"/>
          <w:highlight w:val="yellow"/>
        </w:rPr>
        <w:t>招标人免费提供现场办公用房及办公必要的设施（即办公桌、椅）。</w:t>
      </w:r>
    </w:p>
    <w:p>
      <w:pPr>
        <w:spacing w:line="360" w:lineRule="auto"/>
        <w:ind w:right="-82" w:firstLine="482" w:firstLineChars="200"/>
        <w:rPr>
          <w:rFonts w:ascii="宋体" w:hAnsi="宋体"/>
          <w:b/>
          <w:sz w:val="24"/>
          <w:szCs w:val="24"/>
        </w:rPr>
      </w:pPr>
      <w:r>
        <w:rPr>
          <w:rFonts w:hint="eastAsia" w:ascii="宋体" w:hAnsi="宋体"/>
          <w:b/>
          <w:sz w:val="24"/>
          <w:szCs w:val="24"/>
        </w:rPr>
        <w:t>投标人必须严格按招标文件提供的投标文件格式编制投标文件材料，但表格可以按同样格式进行扩展。</w:t>
      </w:r>
    </w:p>
    <w:p>
      <w:pPr>
        <w:keepNext/>
        <w:keepLines/>
        <w:spacing w:line="360" w:lineRule="auto"/>
        <w:ind w:right="-79"/>
        <w:outlineLvl w:val="0"/>
        <w:rPr>
          <w:rFonts w:ascii="宋体"/>
          <w:b/>
          <w:bCs/>
          <w:kern w:val="44"/>
          <w:sz w:val="28"/>
          <w:szCs w:val="28"/>
        </w:rPr>
      </w:pPr>
      <w:bookmarkStart w:id="82" w:name="_Toc64428462"/>
      <w:bookmarkStart w:id="83" w:name="_Toc104370882"/>
      <w:bookmarkStart w:id="84" w:name="_Toc73429377"/>
      <w:bookmarkStart w:id="85" w:name="_Toc122510114"/>
      <w:bookmarkStart w:id="86" w:name="_Toc144884199"/>
      <w:bookmarkStart w:id="87" w:name="_Toc226536795"/>
      <w:bookmarkStart w:id="88" w:name="_Toc232936394"/>
      <w:r>
        <w:rPr>
          <w:rFonts w:ascii="宋体" w:hAnsi="宋体"/>
          <w:b/>
          <w:bCs/>
          <w:kern w:val="44"/>
          <w:sz w:val="28"/>
          <w:szCs w:val="28"/>
        </w:rPr>
        <w:t>7.</w:t>
      </w:r>
      <w:r>
        <w:rPr>
          <w:rFonts w:hint="eastAsia" w:ascii="宋体" w:hAnsi="宋体"/>
          <w:b/>
          <w:bCs/>
          <w:kern w:val="44"/>
          <w:sz w:val="28"/>
          <w:szCs w:val="28"/>
        </w:rPr>
        <w:t>投标有效期</w:t>
      </w:r>
      <w:bookmarkEnd w:id="82"/>
      <w:bookmarkEnd w:id="83"/>
      <w:bookmarkEnd w:id="84"/>
      <w:bookmarkEnd w:id="85"/>
      <w:bookmarkEnd w:id="86"/>
      <w:bookmarkEnd w:id="87"/>
      <w:bookmarkEnd w:id="88"/>
    </w:p>
    <w:p>
      <w:pPr>
        <w:spacing w:line="360" w:lineRule="auto"/>
        <w:ind w:right="-82" w:firstLine="480" w:firstLineChars="200"/>
        <w:rPr>
          <w:rFonts w:ascii="宋体"/>
          <w:sz w:val="24"/>
          <w:szCs w:val="24"/>
        </w:rPr>
      </w:pPr>
      <w:bookmarkStart w:id="89" w:name="_Toc122510115"/>
      <w:r>
        <w:rPr>
          <w:rFonts w:ascii="宋体" w:hAnsi="宋体"/>
          <w:sz w:val="24"/>
          <w:szCs w:val="24"/>
        </w:rPr>
        <w:t>7.1</w:t>
      </w:r>
      <w:r>
        <w:rPr>
          <w:rFonts w:hint="eastAsia" w:ascii="宋体" w:hAnsi="宋体"/>
          <w:sz w:val="24"/>
          <w:szCs w:val="24"/>
        </w:rPr>
        <w:t>投标有效期</w:t>
      </w:r>
      <w:bookmarkEnd w:id="89"/>
      <w:r>
        <w:rPr>
          <w:rFonts w:hint="eastAsia" w:ascii="宋体" w:hAnsi="宋体"/>
          <w:sz w:val="24"/>
          <w:szCs w:val="24"/>
        </w:rPr>
        <w:t>为8</w:t>
      </w:r>
      <w:r>
        <w:rPr>
          <w:rFonts w:ascii="宋体" w:hAnsi="宋体"/>
          <w:sz w:val="24"/>
          <w:szCs w:val="24"/>
        </w:rPr>
        <w:t>0</w:t>
      </w:r>
      <w:r>
        <w:rPr>
          <w:rFonts w:hint="eastAsia" w:ascii="宋体" w:hAnsi="宋体"/>
          <w:sz w:val="24"/>
          <w:szCs w:val="24"/>
        </w:rPr>
        <w:t>天（从投标截止之日起计算）。</w:t>
      </w:r>
    </w:p>
    <w:p>
      <w:pPr>
        <w:keepNext/>
        <w:keepLines/>
        <w:spacing w:line="360" w:lineRule="auto"/>
        <w:ind w:right="-79"/>
        <w:outlineLvl w:val="0"/>
        <w:rPr>
          <w:rFonts w:ascii="宋体"/>
          <w:b/>
          <w:bCs/>
          <w:kern w:val="44"/>
          <w:sz w:val="28"/>
          <w:szCs w:val="28"/>
        </w:rPr>
      </w:pPr>
      <w:bookmarkStart w:id="90" w:name="_11．投标价格"/>
      <w:bookmarkEnd w:id="90"/>
      <w:bookmarkStart w:id="91" w:name="_Toc64428463"/>
      <w:bookmarkStart w:id="92" w:name="_Toc73429378"/>
      <w:bookmarkStart w:id="93" w:name="_Toc104370883"/>
      <w:bookmarkStart w:id="94" w:name="_Toc122510117"/>
      <w:bookmarkStart w:id="95" w:name="_Toc144884200"/>
      <w:bookmarkStart w:id="96" w:name="_Toc226536796"/>
      <w:bookmarkStart w:id="97" w:name="_Toc232936395"/>
      <w:r>
        <w:rPr>
          <w:rFonts w:ascii="宋体" w:hAnsi="宋体"/>
          <w:b/>
          <w:bCs/>
          <w:kern w:val="44"/>
          <w:sz w:val="28"/>
          <w:szCs w:val="28"/>
        </w:rPr>
        <w:t>8.</w:t>
      </w:r>
      <w:r>
        <w:rPr>
          <w:rFonts w:hint="eastAsia" w:ascii="宋体" w:hAnsi="宋体"/>
          <w:b/>
          <w:bCs/>
          <w:kern w:val="44"/>
          <w:sz w:val="28"/>
          <w:szCs w:val="28"/>
        </w:rPr>
        <w:t>投标价格</w:t>
      </w:r>
      <w:bookmarkEnd w:id="91"/>
      <w:bookmarkEnd w:id="92"/>
      <w:bookmarkEnd w:id="93"/>
      <w:bookmarkEnd w:id="94"/>
      <w:bookmarkEnd w:id="95"/>
      <w:bookmarkEnd w:id="96"/>
      <w:bookmarkEnd w:id="97"/>
    </w:p>
    <w:p>
      <w:pPr>
        <w:spacing w:line="360" w:lineRule="auto"/>
        <w:ind w:right="-82" w:firstLine="480" w:firstLineChars="200"/>
        <w:rPr>
          <w:rFonts w:ascii="宋体"/>
          <w:sz w:val="24"/>
          <w:szCs w:val="24"/>
        </w:rPr>
      </w:pPr>
      <w:r>
        <w:rPr>
          <w:rFonts w:ascii="宋体" w:hAnsi="宋体"/>
          <w:sz w:val="24"/>
          <w:szCs w:val="24"/>
        </w:rPr>
        <w:t>7.1</w:t>
      </w:r>
      <w:r>
        <w:rPr>
          <w:rFonts w:hint="eastAsia" w:ascii="宋体" w:hAnsi="宋体"/>
          <w:sz w:val="24"/>
          <w:szCs w:val="24"/>
        </w:rPr>
        <w:t>投标价格在投标有效期内均是固定的，拒绝含有可变价格的报价。</w:t>
      </w:r>
    </w:p>
    <w:p>
      <w:pPr>
        <w:keepNext/>
        <w:keepLines/>
        <w:spacing w:line="360" w:lineRule="auto"/>
        <w:ind w:right="-79"/>
        <w:outlineLvl w:val="0"/>
        <w:rPr>
          <w:rFonts w:ascii="宋体"/>
          <w:b/>
          <w:bCs/>
          <w:kern w:val="44"/>
          <w:sz w:val="28"/>
          <w:szCs w:val="28"/>
        </w:rPr>
      </w:pPr>
      <w:bookmarkStart w:id="98" w:name="_12．投标货币与支付货币"/>
      <w:bookmarkEnd w:id="98"/>
      <w:bookmarkStart w:id="99" w:name="_Toc4594320"/>
      <w:bookmarkStart w:id="100" w:name="_Toc4687775"/>
      <w:bookmarkStart w:id="101" w:name="_Toc7265872"/>
      <w:bookmarkStart w:id="102" w:name="_Toc64428464"/>
      <w:bookmarkStart w:id="103" w:name="_Toc73429379"/>
      <w:bookmarkStart w:id="104" w:name="_Toc104370884"/>
      <w:bookmarkStart w:id="105" w:name="_Toc122510118"/>
      <w:bookmarkStart w:id="106" w:name="_Toc144884201"/>
      <w:bookmarkStart w:id="107" w:name="_Toc226536797"/>
      <w:bookmarkStart w:id="108" w:name="_Toc232936396"/>
      <w:r>
        <w:rPr>
          <w:rFonts w:ascii="宋体" w:hAnsi="宋体"/>
          <w:b/>
          <w:bCs/>
          <w:kern w:val="44"/>
          <w:sz w:val="28"/>
          <w:szCs w:val="28"/>
        </w:rPr>
        <w:t>9.</w:t>
      </w:r>
      <w:r>
        <w:rPr>
          <w:rFonts w:hint="eastAsia" w:ascii="宋体" w:hAnsi="宋体"/>
          <w:b/>
          <w:bCs/>
          <w:kern w:val="44"/>
          <w:sz w:val="28"/>
          <w:szCs w:val="28"/>
        </w:rPr>
        <w:t>投标货币与支付货币</w:t>
      </w:r>
      <w:bookmarkEnd w:id="99"/>
      <w:bookmarkEnd w:id="100"/>
      <w:bookmarkEnd w:id="101"/>
      <w:bookmarkEnd w:id="102"/>
      <w:bookmarkEnd w:id="103"/>
      <w:bookmarkEnd w:id="104"/>
      <w:bookmarkEnd w:id="105"/>
      <w:bookmarkEnd w:id="106"/>
      <w:bookmarkEnd w:id="107"/>
      <w:bookmarkEnd w:id="108"/>
    </w:p>
    <w:p>
      <w:pPr>
        <w:spacing w:line="360" w:lineRule="auto"/>
        <w:ind w:right="-82" w:firstLine="480" w:firstLineChars="200"/>
        <w:rPr>
          <w:rFonts w:ascii="宋体"/>
          <w:sz w:val="24"/>
          <w:szCs w:val="24"/>
        </w:rPr>
      </w:pPr>
      <w:bookmarkStart w:id="109" w:name="_Toc122510119"/>
      <w:r>
        <w:rPr>
          <w:rFonts w:ascii="宋体" w:hAnsi="宋体"/>
          <w:sz w:val="24"/>
          <w:szCs w:val="24"/>
        </w:rPr>
        <w:t>9.1</w:t>
      </w:r>
      <w:r>
        <w:rPr>
          <w:rFonts w:hint="eastAsia" w:ascii="宋体" w:hAnsi="宋体"/>
          <w:sz w:val="24"/>
          <w:szCs w:val="24"/>
        </w:rPr>
        <w:t>投标货币</w:t>
      </w:r>
      <w:bookmarkEnd w:id="109"/>
      <w:r>
        <w:rPr>
          <w:rFonts w:hint="eastAsia" w:ascii="宋体" w:hAnsi="宋体"/>
          <w:sz w:val="24"/>
          <w:szCs w:val="24"/>
        </w:rPr>
        <w:t>：投标货币为人民币</w:t>
      </w:r>
    </w:p>
    <w:p>
      <w:pPr>
        <w:spacing w:line="360" w:lineRule="auto"/>
        <w:ind w:right="-82" w:firstLine="480" w:firstLineChars="200"/>
        <w:rPr>
          <w:rFonts w:ascii="宋体"/>
          <w:sz w:val="24"/>
          <w:szCs w:val="24"/>
        </w:rPr>
      </w:pPr>
      <w:bookmarkStart w:id="110" w:name="_Toc122510120"/>
      <w:r>
        <w:rPr>
          <w:rFonts w:ascii="宋体" w:hAnsi="宋体"/>
          <w:sz w:val="24"/>
          <w:szCs w:val="24"/>
        </w:rPr>
        <w:t>9.2</w:t>
      </w:r>
      <w:r>
        <w:rPr>
          <w:rFonts w:hint="eastAsia" w:ascii="宋体" w:hAnsi="宋体"/>
          <w:sz w:val="24"/>
          <w:szCs w:val="24"/>
        </w:rPr>
        <w:t>支付货币</w:t>
      </w:r>
      <w:bookmarkEnd w:id="110"/>
      <w:r>
        <w:rPr>
          <w:rFonts w:hint="eastAsia" w:ascii="宋体" w:hAnsi="宋体"/>
          <w:sz w:val="24"/>
          <w:szCs w:val="24"/>
        </w:rPr>
        <w:t>：支付货币为人民币。</w:t>
      </w:r>
    </w:p>
    <w:p>
      <w:pPr>
        <w:keepNext/>
        <w:keepLines/>
        <w:spacing w:line="360" w:lineRule="auto"/>
        <w:ind w:right="-79"/>
        <w:outlineLvl w:val="0"/>
        <w:rPr>
          <w:rFonts w:ascii="宋体"/>
          <w:b/>
          <w:bCs/>
          <w:kern w:val="44"/>
          <w:sz w:val="28"/>
          <w:szCs w:val="28"/>
        </w:rPr>
      </w:pPr>
      <w:bookmarkStart w:id="111" w:name="_13．投标保证金"/>
      <w:bookmarkEnd w:id="111"/>
      <w:bookmarkStart w:id="112" w:name="_Toc4594322"/>
      <w:bookmarkStart w:id="113" w:name="_Toc4687777"/>
      <w:bookmarkStart w:id="114" w:name="_Toc7265874"/>
      <w:bookmarkStart w:id="115" w:name="_Toc64428465"/>
      <w:bookmarkStart w:id="116" w:name="_Toc73429380"/>
      <w:bookmarkStart w:id="117" w:name="_Toc104370885"/>
      <w:bookmarkStart w:id="118" w:name="_Toc122510121"/>
      <w:bookmarkStart w:id="119" w:name="_Toc144884202"/>
      <w:bookmarkStart w:id="120" w:name="_Toc226536798"/>
      <w:bookmarkStart w:id="121" w:name="_Toc232936397"/>
      <w:r>
        <w:rPr>
          <w:rFonts w:ascii="宋体" w:hAnsi="宋体"/>
          <w:b/>
          <w:bCs/>
          <w:kern w:val="44"/>
          <w:sz w:val="28"/>
          <w:szCs w:val="28"/>
        </w:rPr>
        <w:t>10.</w:t>
      </w:r>
      <w:r>
        <w:rPr>
          <w:rFonts w:hint="eastAsia" w:ascii="宋体" w:hAnsi="宋体"/>
          <w:b/>
          <w:bCs/>
          <w:kern w:val="44"/>
          <w:sz w:val="28"/>
          <w:szCs w:val="28"/>
        </w:rPr>
        <w:t>投标保证金</w:t>
      </w:r>
      <w:bookmarkEnd w:id="112"/>
      <w:bookmarkEnd w:id="113"/>
      <w:bookmarkEnd w:id="114"/>
      <w:bookmarkEnd w:id="115"/>
      <w:bookmarkEnd w:id="116"/>
      <w:bookmarkEnd w:id="117"/>
      <w:bookmarkEnd w:id="118"/>
      <w:bookmarkEnd w:id="119"/>
      <w:bookmarkEnd w:id="120"/>
      <w:bookmarkEnd w:id="121"/>
    </w:p>
    <w:p>
      <w:pPr>
        <w:spacing w:line="360" w:lineRule="auto"/>
        <w:ind w:firstLine="843" w:firstLineChars="350"/>
        <w:rPr>
          <w:rFonts w:ascii="宋体"/>
          <w:b/>
          <w:sz w:val="24"/>
          <w:szCs w:val="24"/>
        </w:rPr>
      </w:pPr>
      <w:r>
        <w:rPr>
          <w:rFonts w:hint="eastAsia" w:ascii="宋体" w:hAnsi="宋体"/>
          <w:b/>
          <w:sz w:val="24"/>
          <w:szCs w:val="24"/>
        </w:rPr>
        <w:t>无</w:t>
      </w:r>
    </w:p>
    <w:p>
      <w:pPr>
        <w:keepNext/>
        <w:keepLines/>
        <w:spacing w:line="360" w:lineRule="auto"/>
        <w:ind w:right="-79"/>
        <w:outlineLvl w:val="0"/>
        <w:rPr>
          <w:rFonts w:ascii="宋体"/>
          <w:b/>
          <w:bCs/>
          <w:kern w:val="44"/>
          <w:sz w:val="28"/>
          <w:szCs w:val="28"/>
        </w:rPr>
      </w:pPr>
      <w:bookmarkStart w:id="122" w:name="_14．投标文件材料的形式和签订"/>
      <w:bookmarkEnd w:id="122"/>
      <w:bookmarkStart w:id="123" w:name="_Toc4594324"/>
      <w:bookmarkStart w:id="124" w:name="_Toc4687779"/>
      <w:bookmarkStart w:id="125" w:name="_Toc7265876"/>
      <w:bookmarkStart w:id="126" w:name="_Toc64428466"/>
      <w:bookmarkStart w:id="127" w:name="_Toc73429381"/>
      <w:bookmarkStart w:id="128" w:name="_Toc104370886"/>
      <w:bookmarkStart w:id="129" w:name="_Toc122510131"/>
      <w:bookmarkStart w:id="130" w:name="_Toc144884203"/>
      <w:bookmarkStart w:id="131" w:name="_Toc226536799"/>
      <w:bookmarkStart w:id="132" w:name="_Toc232936398"/>
      <w:r>
        <w:rPr>
          <w:rFonts w:ascii="宋体" w:hAnsi="宋体"/>
          <w:b/>
          <w:bCs/>
          <w:kern w:val="44"/>
          <w:sz w:val="28"/>
          <w:szCs w:val="28"/>
        </w:rPr>
        <w:t>11.</w:t>
      </w:r>
      <w:r>
        <w:rPr>
          <w:rFonts w:hint="eastAsia" w:ascii="宋体" w:hAnsi="宋体"/>
          <w:b/>
          <w:bCs/>
          <w:kern w:val="44"/>
          <w:sz w:val="28"/>
          <w:szCs w:val="28"/>
        </w:rPr>
        <w:t>投标文件材料</w:t>
      </w:r>
      <w:bookmarkEnd w:id="123"/>
      <w:bookmarkEnd w:id="124"/>
      <w:bookmarkEnd w:id="125"/>
      <w:bookmarkEnd w:id="126"/>
      <w:bookmarkEnd w:id="127"/>
      <w:bookmarkEnd w:id="128"/>
      <w:bookmarkEnd w:id="129"/>
      <w:bookmarkEnd w:id="130"/>
      <w:bookmarkEnd w:id="131"/>
      <w:bookmarkEnd w:id="132"/>
    </w:p>
    <w:p>
      <w:pPr>
        <w:spacing w:line="360" w:lineRule="auto"/>
        <w:ind w:right="-82" w:firstLine="480" w:firstLineChars="200"/>
        <w:rPr>
          <w:rFonts w:ascii="宋体"/>
          <w:sz w:val="24"/>
          <w:szCs w:val="24"/>
        </w:rPr>
      </w:pPr>
      <w:bookmarkStart w:id="133" w:name="_Toc122510132"/>
      <w:r>
        <w:rPr>
          <w:rFonts w:ascii="宋体" w:hAnsi="宋体"/>
          <w:sz w:val="24"/>
          <w:szCs w:val="24"/>
        </w:rPr>
        <w:t>11.1</w:t>
      </w:r>
      <w:r>
        <w:rPr>
          <w:rFonts w:hint="eastAsia" w:ascii="宋体" w:hAnsi="宋体"/>
          <w:sz w:val="24"/>
          <w:szCs w:val="24"/>
        </w:rPr>
        <w:t>投标人须按投标须知前附表6</w:t>
      </w:r>
      <w:r>
        <w:rPr>
          <w:rFonts w:ascii="宋体" w:hAnsi="宋体"/>
          <w:sz w:val="24"/>
          <w:szCs w:val="24"/>
        </w:rPr>
        <w:t>.1</w:t>
      </w:r>
      <w:r>
        <w:rPr>
          <w:rFonts w:hint="eastAsia" w:ascii="宋体" w:hAnsi="宋体"/>
          <w:sz w:val="24"/>
          <w:szCs w:val="24"/>
        </w:rPr>
        <w:t>的规定，准备投标文件</w:t>
      </w:r>
      <w:bookmarkEnd w:id="133"/>
      <w:bookmarkStart w:id="134" w:name="_Toc122510133"/>
      <w:r>
        <w:rPr>
          <w:rFonts w:hint="eastAsia" w:ascii="宋体" w:hAnsi="宋体"/>
          <w:sz w:val="24"/>
          <w:szCs w:val="24"/>
        </w:rPr>
        <w:t>正本</w:t>
      </w:r>
      <w:r>
        <w:rPr>
          <w:rFonts w:ascii="宋体" w:hAnsi="宋体"/>
          <w:sz w:val="24"/>
          <w:szCs w:val="24"/>
        </w:rPr>
        <w:t>1</w:t>
      </w:r>
      <w:r>
        <w:rPr>
          <w:rFonts w:hint="eastAsia" w:ascii="宋体" w:hAnsi="宋体"/>
          <w:sz w:val="24"/>
          <w:szCs w:val="24"/>
        </w:rPr>
        <w:t>套，并明确写明“投标文件材料正本”。</w:t>
      </w:r>
    </w:p>
    <w:p>
      <w:pPr>
        <w:spacing w:line="360" w:lineRule="auto"/>
        <w:ind w:right="-82" w:firstLine="360" w:firstLineChars="150"/>
        <w:rPr>
          <w:rFonts w:ascii="宋体"/>
          <w:sz w:val="24"/>
          <w:szCs w:val="24"/>
        </w:rPr>
      </w:pPr>
      <w:r>
        <w:rPr>
          <w:rFonts w:ascii="宋体" w:hAnsi="宋体"/>
          <w:sz w:val="24"/>
          <w:szCs w:val="24"/>
        </w:rPr>
        <w:t>11.2</w:t>
      </w:r>
      <w:bookmarkEnd w:id="134"/>
      <w:r>
        <w:rPr>
          <w:rFonts w:hint="eastAsia" w:ascii="宋体" w:hAnsi="宋体"/>
          <w:sz w:val="24"/>
          <w:szCs w:val="24"/>
        </w:rPr>
        <w:t>投标文件材料的正本均应激光打印；签字处由投标人的法定代表人或其委托代理人使用黑色签字笔（下同）亲笔签字。如投标人的法定代表人授权他人签字，则应随投标文件材料提交授权委托书。</w:t>
      </w:r>
    </w:p>
    <w:p>
      <w:pPr>
        <w:spacing w:line="360" w:lineRule="auto"/>
        <w:ind w:right="-82" w:firstLine="480" w:firstLineChars="200"/>
        <w:rPr>
          <w:rFonts w:ascii="宋体"/>
          <w:sz w:val="24"/>
          <w:szCs w:val="24"/>
        </w:rPr>
      </w:pPr>
      <w:bookmarkStart w:id="135" w:name="_Toc122510134"/>
      <w:r>
        <w:rPr>
          <w:rFonts w:ascii="宋体" w:hAnsi="宋体"/>
          <w:sz w:val="24"/>
          <w:szCs w:val="24"/>
        </w:rPr>
        <w:t>11.3</w:t>
      </w:r>
      <w:r>
        <w:rPr>
          <w:rFonts w:hint="eastAsia" w:ascii="宋体" w:hAnsi="宋体"/>
          <w:sz w:val="24"/>
          <w:szCs w:val="24"/>
        </w:rPr>
        <w:t>所有投标文件材料应无涂改、行间插字或删除。若因投标人造成且必须修改的错误，则修改处应由投标文件材料签署人亲笔小签。</w:t>
      </w:r>
      <w:bookmarkEnd w:id="135"/>
    </w:p>
    <w:p>
      <w:pPr>
        <w:spacing w:line="360" w:lineRule="auto"/>
        <w:ind w:right="-82" w:firstLine="480" w:firstLineChars="200"/>
        <w:rPr>
          <w:rFonts w:ascii="宋体"/>
          <w:sz w:val="24"/>
          <w:szCs w:val="24"/>
        </w:rPr>
      </w:pPr>
      <w:bookmarkStart w:id="136" w:name="_Toc122510136"/>
      <w:r>
        <w:rPr>
          <w:rFonts w:ascii="宋体" w:hAnsi="宋体"/>
          <w:sz w:val="24"/>
          <w:szCs w:val="24"/>
        </w:rPr>
        <w:t>11.4</w:t>
      </w:r>
      <w:r>
        <w:rPr>
          <w:rFonts w:hint="eastAsia" w:ascii="宋体" w:hAnsi="宋体"/>
          <w:sz w:val="24"/>
          <w:szCs w:val="24"/>
        </w:rPr>
        <w:t>每个投标人对本招标文件材料所述的项目均只能提交一式投标文件材料。</w:t>
      </w:r>
      <w:bookmarkEnd w:id="136"/>
      <w:bookmarkStart w:id="137" w:name="_Toc122510137"/>
    </w:p>
    <w:bookmarkEnd w:id="137"/>
    <w:p>
      <w:pPr>
        <w:keepNext/>
        <w:keepLines/>
        <w:spacing w:line="360" w:lineRule="auto"/>
        <w:ind w:right="-79"/>
        <w:outlineLvl w:val="0"/>
        <w:rPr>
          <w:rFonts w:ascii="宋体"/>
          <w:b/>
          <w:bCs/>
          <w:kern w:val="44"/>
          <w:sz w:val="28"/>
          <w:szCs w:val="28"/>
        </w:rPr>
      </w:pPr>
      <w:bookmarkStart w:id="138" w:name="_15．投标文件材料的密封与标记"/>
      <w:bookmarkEnd w:id="138"/>
      <w:bookmarkStart w:id="139" w:name="_Toc4594325"/>
      <w:bookmarkStart w:id="140" w:name="_Toc4687780"/>
      <w:bookmarkStart w:id="141" w:name="_Toc7265877"/>
      <w:bookmarkStart w:id="142" w:name="_Toc64428467"/>
      <w:bookmarkStart w:id="143" w:name="_Toc73429382"/>
      <w:bookmarkStart w:id="144" w:name="_Toc104370887"/>
      <w:bookmarkStart w:id="145" w:name="_Toc122510138"/>
      <w:bookmarkStart w:id="146" w:name="_Toc144884204"/>
      <w:bookmarkStart w:id="147" w:name="_Toc226536800"/>
      <w:bookmarkStart w:id="148" w:name="_Toc232936399"/>
      <w:r>
        <w:rPr>
          <w:rFonts w:ascii="宋体" w:hAnsi="宋体"/>
          <w:b/>
          <w:bCs/>
          <w:kern w:val="44"/>
          <w:sz w:val="28"/>
          <w:szCs w:val="28"/>
        </w:rPr>
        <w:t>12</w:t>
      </w:r>
      <w:r>
        <w:rPr>
          <w:rFonts w:ascii="宋体"/>
          <w:b/>
          <w:bCs/>
          <w:kern w:val="44"/>
          <w:sz w:val="28"/>
          <w:szCs w:val="28"/>
        </w:rPr>
        <w:t>.</w:t>
      </w:r>
      <w:r>
        <w:rPr>
          <w:rFonts w:hint="eastAsia" w:ascii="宋体" w:hAnsi="宋体"/>
          <w:b/>
          <w:bCs/>
          <w:kern w:val="44"/>
          <w:sz w:val="28"/>
          <w:szCs w:val="28"/>
        </w:rPr>
        <w:t>投标文件材料的密封与标记</w:t>
      </w:r>
      <w:bookmarkEnd w:id="139"/>
      <w:bookmarkEnd w:id="140"/>
      <w:bookmarkEnd w:id="141"/>
      <w:bookmarkEnd w:id="142"/>
      <w:bookmarkEnd w:id="143"/>
      <w:bookmarkEnd w:id="144"/>
      <w:bookmarkEnd w:id="145"/>
      <w:bookmarkEnd w:id="146"/>
      <w:bookmarkEnd w:id="147"/>
      <w:bookmarkEnd w:id="148"/>
    </w:p>
    <w:p>
      <w:pPr>
        <w:spacing w:line="360" w:lineRule="auto"/>
        <w:ind w:right="-82" w:firstLine="480" w:firstLineChars="200"/>
        <w:rPr>
          <w:rFonts w:ascii="宋体"/>
          <w:sz w:val="24"/>
          <w:szCs w:val="24"/>
        </w:rPr>
      </w:pPr>
      <w:bookmarkStart w:id="149" w:name="_Toc122510139"/>
      <w:r>
        <w:rPr>
          <w:rFonts w:ascii="宋体" w:hAnsi="宋体"/>
          <w:sz w:val="24"/>
          <w:szCs w:val="24"/>
        </w:rPr>
        <w:t>12.1</w:t>
      </w:r>
      <w:bookmarkEnd w:id="149"/>
      <w:r>
        <w:rPr>
          <w:rFonts w:hint="eastAsia" w:ascii="宋体" w:hAnsi="宋体"/>
          <w:sz w:val="24"/>
          <w:szCs w:val="24"/>
        </w:rPr>
        <w:t>本章所述投标文件材料正本</w:t>
      </w:r>
      <w:r>
        <w:rPr>
          <w:rFonts w:ascii="宋体" w:hAnsi="宋体"/>
          <w:sz w:val="24"/>
          <w:szCs w:val="24"/>
        </w:rPr>
        <w:t>1</w:t>
      </w:r>
      <w:r>
        <w:rPr>
          <w:rFonts w:hint="eastAsia" w:ascii="宋体" w:hAnsi="宋体"/>
          <w:sz w:val="24"/>
          <w:szCs w:val="24"/>
        </w:rPr>
        <w:t>套应密封包装。</w:t>
      </w:r>
    </w:p>
    <w:p>
      <w:pPr>
        <w:spacing w:line="360" w:lineRule="auto"/>
        <w:ind w:right="-82" w:firstLine="480" w:firstLineChars="200"/>
        <w:rPr>
          <w:rFonts w:ascii="宋体"/>
          <w:sz w:val="24"/>
          <w:szCs w:val="24"/>
        </w:rPr>
      </w:pPr>
      <w:bookmarkStart w:id="150" w:name="_Toc122510147"/>
      <w:r>
        <w:rPr>
          <w:rFonts w:ascii="宋体" w:hAnsi="宋体"/>
          <w:sz w:val="24"/>
          <w:szCs w:val="24"/>
        </w:rPr>
        <w:t>12.2</w:t>
      </w:r>
      <w:r>
        <w:rPr>
          <w:rFonts w:hint="eastAsia" w:ascii="宋体" w:hAnsi="宋体"/>
          <w:sz w:val="24"/>
          <w:szCs w:val="24"/>
        </w:rPr>
        <w:t>所有投标文件材料均应在投标截止日期前由专人送达指定地址和单位。</w:t>
      </w:r>
      <w:bookmarkEnd w:id="150"/>
    </w:p>
    <w:p>
      <w:pPr>
        <w:spacing w:line="360" w:lineRule="auto"/>
        <w:ind w:right="-82" w:firstLine="480" w:firstLineChars="200"/>
        <w:rPr>
          <w:rFonts w:ascii="宋体"/>
          <w:sz w:val="24"/>
          <w:szCs w:val="24"/>
        </w:rPr>
      </w:pPr>
      <w:bookmarkStart w:id="151" w:name="_Toc122510148"/>
      <w:r>
        <w:rPr>
          <w:rFonts w:ascii="宋体" w:hAnsi="宋体"/>
          <w:sz w:val="24"/>
          <w:szCs w:val="24"/>
        </w:rPr>
        <w:t>12.3</w:t>
      </w:r>
      <w:r>
        <w:rPr>
          <w:rFonts w:hint="eastAsia" w:ascii="宋体" w:hAnsi="宋体"/>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51"/>
    </w:p>
    <w:p>
      <w:pPr>
        <w:keepNext/>
        <w:keepLines/>
        <w:spacing w:line="360" w:lineRule="auto"/>
        <w:ind w:right="-79"/>
        <w:outlineLvl w:val="0"/>
        <w:rPr>
          <w:rFonts w:ascii="宋体"/>
          <w:b/>
          <w:bCs/>
          <w:kern w:val="44"/>
          <w:sz w:val="28"/>
          <w:szCs w:val="28"/>
        </w:rPr>
      </w:pPr>
      <w:bookmarkStart w:id="152" w:name="_16．投标文件材料的修改与撤回"/>
      <w:bookmarkEnd w:id="152"/>
      <w:bookmarkStart w:id="153" w:name="_Toc4594328"/>
      <w:bookmarkStart w:id="154" w:name="_Toc4687783"/>
      <w:bookmarkStart w:id="155" w:name="_Toc7265880"/>
      <w:bookmarkStart w:id="156" w:name="_Toc64428468"/>
      <w:bookmarkStart w:id="157" w:name="_Toc73429383"/>
      <w:bookmarkStart w:id="158" w:name="_Toc104370888"/>
      <w:bookmarkStart w:id="159" w:name="_Toc122510150"/>
      <w:bookmarkStart w:id="160" w:name="_Toc144884205"/>
      <w:bookmarkStart w:id="161" w:name="_Toc226536801"/>
      <w:bookmarkStart w:id="162" w:name="_Toc232936400"/>
      <w:r>
        <w:rPr>
          <w:rFonts w:ascii="宋体" w:hAnsi="宋体"/>
          <w:b/>
          <w:bCs/>
          <w:kern w:val="44"/>
          <w:sz w:val="28"/>
          <w:szCs w:val="28"/>
        </w:rPr>
        <w:t>13.</w:t>
      </w:r>
      <w:r>
        <w:rPr>
          <w:rFonts w:hint="eastAsia" w:ascii="宋体" w:hAnsi="宋体"/>
          <w:b/>
          <w:bCs/>
          <w:kern w:val="44"/>
          <w:sz w:val="28"/>
          <w:szCs w:val="28"/>
        </w:rPr>
        <w:t>投标文件材料的修改与撤回</w:t>
      </w:r>
      <w:bookmarkEnd w:id="153"/>
      <w:bookmarkEnd w:id="154"/>
      <w:bookmarkEnd w:id="155"/>
      <w:bookmarkEnd w:id="156"/>
      <w:bookmarkEnd w:id="157"/>
      <w:bookmarkEnd w:id="158"/>
      <w:bookmarkEnd w:id="159"/>
      <w:bookmarkEnd w:id="160"/>
      <w:bookmarkEnd w:id="161"/>
      <w:bookmarkEnd w:id="162"/>
    </w:p>
    <w:p>
      <w:pPr>
        <w:spacing w:line="360" w:lineRule="auto"/>
        <w:ind w:right="-82" w:firstLine="480" w:firstLineChars="200"/>
        <w:rPr>
          <w:rFonts w:ascii="宋体"/>
          <w:sz w:val="24"/>
          <w:szCs w:val="24"/>
        </w:rPr>
      </w:pPr>
      <w:bookmarkStart w:id="163" w:name="_Toc122510151"/>
      <w:r>
        <w:rPr>
          <w:rFonts w:ascii="宋体" w:hAnsi="宋体"/>
          <w:sz w:val="24"/>
          <w:szCs w:val="24"/>
        </w:rPr>
        <w:t>13.1</w:t>
      </w:r>
      <w:r>
        <w:rPr>
          <w:rFonts w:hint="eastAsia" w:ascii="宋体" w:hAnsi="宋体"/>
          <w:sz w:val="24"/>
          <w:szCs w:val="24"/>
        </w:rPr>
        <w:t>投标人在提交投标文件材料后，在招标文件材料要求提交投标文件材料的截止时间前，可以补充、修改或撤回其投标文件材料，并书面通知招标人。</w:t>
      </w:r>
      <w:bookmarkEnd w:id="163"/>
    </w:p>
    <w:p>
      <w:pPr>
        <w:spacing w:line="360" w:lineRule="auto"/>
        <w:ind w:right="-82" w:firstLine="480" w:firstLineChars="200"/>
        <w:rPr>
          <w:rFonts w:ascii="宋体"/>
          <w:sz w:val="24"/>
          <w:szCs w:val="24"/>
        </w:rPr>
      </w:pPr>
      <w:bookmarkStart w:id="164" w:name="_Toc122510152"/>
      <w:r>
        <w:rPr>
          <w:rFonts w:ascii="宋体" w:hAnsi="宋体"/>
          <w:sz w:val="24"/>
          <w:szCs w:val="24"/>
        </w:rPr>
        <w:t>13.2</w:t>
      </w:r>
      <w:r>
        <w:rPr>
          <w:rFonts w:hint="eastAsia" w:ascii="宋体" w:hAnsi="宋体"/>
          <w:sz w:val="24"/>
          <w:szCs w:val="24"/>
        </w:rPr>
        <w:t>补充、修改的内容为投标文件材料的组成部分。投标人须按本须知条款第</w:t>
      </w:r>
      <w:r>
        <w:rPr>
          <w:rFonts w:ascii="宋体" w:hAnsi="宋体"/>
          <w:sz w:val="24"/>
          <w:szCs w:val="24"/>
        </w:rPr>
        <w:t>15</w:t>
      </w:r>
      <w:r>
        <w:rPr>
          <w:rFonts w:hint="eastAsia" w:ascii="宋体" w:hAnsi="宋体"/>
          <w:sz w:val="24"/>
          <w:szCs w:val="24"/>
        </w:rPr>
        <w:t>条要求对其密封包装，并应在内、外层包装上标明“修改”字样。</w:t>
      </w:r>
      <w:bookmarkEnd w:id="164"/>
    </w:p>
    <w:p>
      <w:pPr>
        <w:keepNext/>
        <w:keepLines/>
        <w:spacing w:line="360" w:lineRule="auto"/>
        <w:ind w:right="-79"/>
        <w:outlineLvl w:val="0"/>
        <w:rPr>
          <w:rFonts w:ascii="宋体"/>
          <w:b/>
          <w:bCs/>
          <w:kern w:val="44"/>
          <w:sz w:val="28"/>
          <w:szCs w:val="28"/>
        </w:rPr>
      </w:pPr>
      <w:bookmarkStart w:id="165" w:name="_17.不予受理的投标文件材料"/>
      <w:bookmarkEnd w:id="165"/>
      <w:bookmarkStart w:id="166" w:name="_Toc4594327"/>
      <w:bookmarkStart w:id="167" w:name="_Toc4687782"/>
      <w:bookmarkStart w:id="168" w:name="_Toc7265879"/>
      <w:bookmarkStart w:id="169" w:name="_Toc64428469"/>
      <w:bookmarkStart w:id="170" w:name="_Toc73429384"/>
      <w:bookmarkStart w:id="171" w:name="_Toc104370889"/>
      <w:bookmarkStart w:id="172" w:name="_Toc122510156"/>
      <w:bookmarkStart w:id="173" w:name="_Toc144884206"/>
      <w:bookmarkStart w:id="174" w:name="_Toc226536802"/>
      <w:bookmarkStart w:id="175" w:name="_Toc232936401"/>
      <w:r>
        <w:rPr>
          <w:rFonts w:ascii="宋体" w:hAnsi="宋体"/>
          <w:b/>
          <w:bCs/>
          <w:kern w:val="44"/>
          <w:sz w:val="28"/>
          <w:szCs w:val="28"/>
        </w:rPr>
        <w:t>14.</w:t>
      </w:r>
      <w:r>
        <w:rPr>
          <w:rFonts w:hint="eastAsia" w:ascii="宋体" w:hAnsi="宋体"/>
          <w:b/>
          <w:bCs/>
          <w:kern w:val="44"/>
          <w:sz w:val="28"/>
          <w:szCs w:val="28"/>
        </w:rPr>
        <w:t>不予受理的投标</w:t>
      </w:r>
      <w:bookmarkEnd w:id="166"/>
      <w:bookmarkEnd w:id="167"/>
      <w:bookmarkEnd w:id="168"/>
      <w:r>
        <w:rPr>
          <w:rFonts w:hint="eastAsia" w:ascii="宋体" w:hAnsi="宋体"/>
          <w:b/>
          <w:bCs/>
          <w:kern w:val="44"/>
          <w:sz w:val="28"/>
          <w:szCs w:val="28"/>
        </w:rPr>
        <w:t>文件材料</w:t>
      </w:r>
      <w:bookmarkEnd w:id="169"/>
      <w:bookmarkEnd w:id="170"/>
      <w:bookmarkEnd w:id="171"/>
      <w:bookmarkEnd w:id="172"/>
      <w:bookmarkEnd w:id="173"/>
      <w:bookmarkEnd w:id="174"/>
      <w:bookmarkEnd w:id="175"/>
    </w:p>
    <w:p>
      <w:pPr>
        <w:spacing w:line="360" w:lineRule="auto"/>
        <w:ind w:right="-82" w:firstLine="480" w:firstLineChars="200"/>
        <w:rPr>
          <w:rFonts w:ascii="宋体"/>
          <w:sz w:val="24"/>
          <w:szCs w:val="24"/>
        </w:rPr>
      </w:pPr>
      <w:bookmarkStart w:id="176" w:name="_Toc122510157"/>
      <w:r>
        <w:rPr>
          <w:rFonts w:ascii="宋体" w:hAnsi="宋体"/>
          <w:sz w:val="24"/>
          <w:szCs w:val="24"/>
        </w:rPr>
        <w:t>14.1</w:t>
      </w:r>
      <w:r>
        <w:rPr>
          <w:rFonts w:hint="eastAsia" w:ascii="宋体" w:hAnsi="宋体"/>
          <w:sz w:val="24"/>
          <w:szCs w:val="24"/>
        </w:rPr>
        <w:t>有下列情形之一的投标文件材料，招标人将不予受理：</w:t>
      </w:r>
      <w:bookmarkEnd w:id="176"/>
    </w:p>
    <w:p>
      <w:pPr>
        <w:spacing w:line="360" w:lineRule="auto"/>
        <w:ind w:right="-82" w:firstLine="480" w:firstLineChars="200"/>
        <w:rPr>
          <w:rFonts w:ascii="宋体"/>
          <w:sz w:val="24"/>
          <w:szCs w:val="24"/>
        </w:rPr>
      </w:pPr>
      <w:bookmarkStart w:id="177" w:name="_Toc122510158"/>
      <w:r>
        <w:rPr>
          <w:rFonts w:ascii="宋体" w:hAnsi="宋体"/>
          <w:sz w:val="24"/>
          <w:szCs w:val="24"/>
        </w:rPr>
        <w:t>14.1.1</w:t>
      </w:r>
      <w:r>
        <w:rPr>
          <w:rFonts w:hint="eastAsia" w:ascii="宋体" w:hAnsi="宋体"/>
          <w:sz w:val="24"/>
          <w:szCs w:val="24"/>
        </w:rPr>
        <w:t>招标人在投标截止时间后收到的任何投标文件材料，将原封退回投标人。</w:t>
      </w:r>
      <w:bookmarkEnd w:id="177"/>
    </w:p>
    <w:p>
      <w:pPr>
        <w:spacing w:line="360" w:lineRule="auto"/>
        <w:ind w:right="-82" w:firstLine="480" w:firstLineChars="200"/>
        <w:rPr>
          <w:rFonts w:ascii="宋体"/>
          <w:sz w:val="24"/>
          <w:szCs w:val="24"/>
        </w:rPr>
      </w:pPr>
      <w:bookmarkStart w:id="178" w:name="_Toc122510159"/>
      <w:r>
        <w:rPr>
          <w:rFonts w:ascii="宋体" w:hAnsi="宋体"/>
          <w:sz w:val="24"/>
          <w:szCs w:val="24"/>
        </w:rPr>
        <w:t>14.1.2</w:t>
      </w:r>
      <w:r>
        <w:rPr>
          <w:rFonts w:hint="eastAsia" w:ascii="宋体" w:hAnsi="宋体"/>
          <w:sz w:val="24"/>
          <w:szCs w:val="24"/>
        </w:rPr>
        <w:t>投标人未按条款所述，将投标文件材料送到指定地点。</w:t>
      </w:r>
      <w:bookmarkEnd w:id="178"/>
    </w:p>
    <w:p>
      <w:pPr>
        <w:keepNext/>
        <w:keepLines/>
        <w:spacing w:line="360" w:lineRule="auto"/>
        <w:ind w:right="-79"/>
        <w:outlineLvl w:val="0"/>
        <w:rPr>
          <w:rFonts w:ascii="宋体"/>
          <w:b/>
          <w:bCs/>
          <w:kern w:val="44"/>
          <w:sz w:val="28"/>
          <w:szCs w:val="28"/>
        </w:rPr>
      </w:pPr>
      <w:bookmarkStart w:id="179" w:name="_18．开标"/>
      <w:bookmarkEnd w:id="179"/>
      <w:bookmarkStart w:id="180" w:name="_Toc4594329"/>
      <w:bookmarkStart w:id="181" w:name="_Toc4687784"/>
      <w:bookmarkStart w:id="182" w:name="_Toc7265881"/>
      <w:bookmarkStart w:id="183" w:name="_Toc64428470"/>
      <w:bookmarkStart w:id="184" w:name="_Toc73429385"/>
      <w:bookmarkStart w:id="185" w:name="_Toc104370890"/>
      <w:bookmarkStart w:id="186" w:name="_Toc122510160"/>
      <w:bookmarkStart w:id="187" w:name="_Toc144884207"/>
      <w:bookmarkStart w:id="188" w:name="_Toc226536803"/>
      <w:bookmarkStart w:id="189" w:name="_Toc232936402"/>
      <w:r>
        <w:rPr>
          <w:rFonts w:ascii="宋体" w:hAnsi="宋体"/>
          <w:b/>
          <w:bCs/>
          <w:kern w:val="44"/>
          <w:sz w:val="28"/>
          <w:szCs w:val="28"/>
        </w:rPr>
        <w:t>15.</w:t>
      </w:r>
      <w:r>
        <w:rPr>
          <w:rFonts w:hint="eastAsia" w:ascii="宋体" w:hAnsi="宋体"/>
          <w:b/>
          <w:bCs/>
          <w:kern w:val="44"/>
          <w:sz w:val="28"/>
          <w:szCs w:val="28"/>
        </w:rPr>
        <w:t>开标</w:t>
      </w:r>
      <w:bookmarkEnd w:id="180"/>
      <w:bookmarkEnd w:id="181"/>
      <w:bookmarkEnd w:id="182"/>
      <w:bookmarkEnd w:id="183"/>
      <w:bookmarkEnd w:id="184"/>
      <w:bookmarkEnd w:id="185"/>
      <w:bookmarkEnd w:id="186"/>
      <w:bookmarkEnd w:id="187"/>
      <w:bookmarkEnd w:id="188"/>
      <w:bookmarkEnd w:id="189"/>
    </w:p>
    <w:p>
      <w:pPr>
        <w:spacing w:line="360" w:lineRule="auto"/>
        <w:ind w:right="-82" w:firstLine="480" w:firstLineChars="200"/>
        <w:rPr>
          <w:rFonts w:ascii="宋体"/>
          <w:b/>
          <w:bCs/>
          <w:sz w:val="24"/>
          <w:szCs w:val="24"/>
        </w:rPr>
      </w:pPr>
      <w:r>
        <w:rPr>
          <w:rFonts w:ascii="宋体" w:hAnsi="宋体"/>
          <w:sz w:val="24"/>
          <w:szCs w:val="24"/>
        </w:rPr>
        <w:t>15.1</w:t>
      </w:r>
      <w:r>
        <w:rPr>
          <w:rFonts w:hint="eastAsia" w:ascii="宋体" w:hAnsi="宋体"/>
          <w:b/>
          <w:sz w:val="24"/>
          <w:szCs w:val="24"/>
        </w:rPr>
        <w:t>本工程不当场开标，招标人自行开标，开标后</w:t>
      </w:r>
      <w:r>
        <w:rPr>
          <w:rFonts w:hint="eastAsia" w:ascii="宋体" w:hAnsi="宋体"/>
          <w:b/>
          <w:bCs/>
          <w:sz w:val="24"/>
          <w:szCs w:val="24"/>
        </w:rPr>
        <w:t>招标人将根据工程的实际情况，有可能选择得分前二名供应商入围并进行业绩实地考察，就考察情况结合投标报价确定最终的成交单位。</w:t>
      </w:r>
      <w:bookmarkStart w:id="190" w:name="_19．过程保密"/>
      <w:bookmarkEnd w:id="190"/>
      <w:bookmarkStart w:id="191" w:name="_20．投标文件材料的澄清"/>
      <w:bookmarkEnd w:id="191"/>
      <w:bookmarkStart w:id="192" w:name="_Toc4594331"/>
      <w:bookmarkStart w:id="193" w:name="_Toc4687786"/>
      <w:bookmarkStart w:id="194" w:name="_Toc7265883"/>
      <w:bookmarkStart w:id="195" w:name="_Toc64428472"/>
      <w:bookmarkStart w:id="196" w:name="_Toc73429387"/>
      <w:bookmarkStart w:id="197" w:name="_Toc104370892"/>
      <w:bookmarkStart w:id="198" w:name="_Toc122510174"/>
      <w:bookmarkStart w:id="199" w:name="_Toc144884209"/>
      <w:bookmarkStart w:id="200" w:name="_Toc226536805"/>
      <w:bookmarkStart w:id="201" w:name="_Toc232936404"/>
    </w:p>
    <w:p>
      <w:pPr>
        <w:spacing w:line="360" w:lineRule="auto"/>
        <w:ind w:right="-82"/>
        <w:rPr>
          <w:rFonts w:ascii="宋体"/>
          <w:b/>
          <w:bCs/>
          <w:kern w:val="44"/>
          <w:sz w:val="28"/>
          <w:szCs w:val="28"/>
        </w:rPr>
      </w:pPr>
      <w:r>
        <w:rPr>
          <w:rFonts w:ascii="宋体" w:hAnsi="宋体"/>
          <w:b/>
          <w:bCs/>
          <w:kern w:val="44"/>
          <w:sz w:val="28"/>
          <w:szCs w:val="28"/>
        </w:rPr>
        <w:t>.16.</w:t>
      </w:r>
      <w:r>
        <w:rPr>
          <w:rFonts w:hint="eastAsia" w:ascii="宋体" w:hAnsi="宋体"/>
          <w:b/>
          <w:bCs/>
          <w:kern w:val="44"/>
          <w:sz w:val="28"/>
          <w:szCs w:val="28"/>
        </w:rPr>
        <w:t>投标文件材料的澄清</w:t>
      </w:r>
      <w:bookmarkEnd w:id="192"/>
      <w:bookmarkEnd w:id="193"/>
      <w:bookmarkEnd w:id="194"/>
      <w:bookmarkEnd w:id="195"/>
      <w:bookmarkEnd w:id="196"/>
      <w:bookmarkEnd w:id="197"/>
      <w:bookmarkEnd w:id="198"/>
      <w:bookmarkEnd w:id="199"/>
      <w:bookmarkEnd w:id="200"/>
      <w:bookmarkEnd w:id="201"/>
    </w:p>
    <w:p>
      <w:pPr>
        <w:spacing w:line="360" w:lineRule="auto"/>
        <w:ind w:right="-82" w:firstLine="480" w:firstLineChars="200"/>
        <w:rPr>
          <w:rFonts w:ascii="宋体"/>
          <w:sz w:val="24"/>
          <w:szCs w:val="24"/>
        </w:rPr>
      </w:pPr>
      <w:bookmarkStart w:id="202" w:name="_Toc122510175"/>
      <w:r>
        <w:rPr>
          <w:rFonts w:ascii="宋体" w:hAnsi="宋体"/>
          <w:sz w:val="24"/>
          <w:szCs w:val="24"/>
        </w:rPr>
        <w:t>16.1</w:t>
      </w:r>
      <w:r>
        <w:rPr>
          <w:rFonts w:hint="eastAsia" w:ascii="宋体" w:hAnsi="宋体"/>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02"/>
    </w:p>
    <w:p>
      <w:pPr>
        <w:keepNext/>
        <w:keepLines/>
        <w:spacing w:line="360" w:lineRule="auto"/>
        <w:ind w:right="-79"/>
        <w:outlineLvl w:val="0"/>
        <w:rPr>
          <w:rFonts w:ascii="宋体"/>
          <w:b/>
          <w:bCs/>
          <w:kern w:val="44"/>
          <w:sz w:val="28"/>
          <w:szCs w:val="28"/>
        </w:rPr>
      </w:pPr>
      <w:bookmarkStart w:id="203" w:name="_21．评标"/>
      <w:bookmarkEnd w:id="203"/>
      <w:bookmarkStart w:id="204" w:name="_Toc64428473"/>
      <w:bookmarkStart w:id="205" w:name="_Toc4594334"/>
      <w:bookmarkStart w:id="206" w:name="_Toc4687789"/>
      <w:bookmarkStart w:id="207" w:name="_Toc7265886"/>
      <w:bookmarkStart w:id="208" w:name="_Toc73429388"/>
      <w:bookmarkStart w:id="209" w:name="_Toc104370893"/>
      <w:bookmarkStart w:id="210" w:name="_Toc122510177"/>
      <w:bookmarkStart w:id="211" w:name="_Toc144884210"/>
      <w:bookmarkStart w:id="212" w:name="_Toc226536806"/>
      <w:bookmarkStart w:id="213" w:name="_Toc232936405"/>
      <w:r>
        <w:rPr>
          <w:rFonts w:ascii="宋体" w:hAnsi="宋体"/>
          <w:b/>
          <w:bCs/>
          <w:kern w:val="44"/>
          <w:sz w:val="28"/>
          <w:szCs w:val="28"/>
        </w:rPr>
        <w:t>17.</w:t>
      </w:r>
      <w:r>
        <w:rPr>
          <w:rFonts w:hint="eastAsia" w:ascii="宋体" w:hAnsi="宋体"/>
          <w:b/>
          <w:bCs/>
          <w:kern w:val="44"/>
          <w:sz w:val="28"/>
          <w:szCs w:val="28"/>
        </w:rPr>
        <w:t>评标</w:t>
      </w:r>
      <w:bookmarkEnd w:id="204"/>
      <w:bookmarkEnd w:id="205"/>
      <w:bookmarkEnd w:id="206"/>
      <w:bookmarkEnd w:id="207"/>
      <w:bookmarkEnd w:id="208"/>
      <w:bookmarkEnd w:id="209"/>
      <w:bookmarkEnd w:id="210"/>
      <w:bookmarkEnd w:id="211"/>
      <w:bookmarkEnd w:id="212"/>
      <w:bookmarkEnd w:id="213"/>
    </w:p>
    <w:p>
      <w:pPr>
        <w:pStyle w:val="8"/>
        <w:spacing w:line="360" w:lineRule="auto"/>
        <w:ind w:left="-2" w:firstLine="480"/>
        <w:rPr>
          <w:b/>
        </w:rPr>
      </w:pPr>
      <w:bookmarkStart w:id="214" w:name="_Toc122510179"/>
      <w:r>
        <w:rPr>
          <w:rFonts w:ascii="宋体" w:hAnsi="宋体"/>
        </w:rPr>
        <w:t>17.1</w:t>
      </w:r>
      <w:bookmarkEnd w:id="214"/>
      <w:r>
        <w:rPr>
          <w:rFonts w:hint="eastAsia"/>
          <w:b/>
        </w:rPr>
        <w:t>除报价外，由招标人对各投标人的投标文件进行充分的审核和评价后，进行定标。评价的方面：投标报价、企业信誉、综合实力及财务状况。</w:t>
      </w:r>
    </w:p>
    <w:p>
      <w:pPr>
        <w:spacing w:line="360" w:lineRule="auto"/>
        <w:ind w:right="-82" w:firstLine="480" w:firstLineChars="200"/>
        <w:rPr>
          <w:rFonts w:ascii="宋体"/>
          <w:sz w:val="24"/>
          <w:szCs w:val="24"/>
        </w:rPr>
      </w:pPr>
      <w:bookmarkStart w:id="215" w:name="_Toc122510180"/>
      <w:r>
        <w:rPr>
          <w:rFonts w:ascii="宋体" w:hAnsi="宋体"/>
          <w:sz w:val="24"/>
          <w:szCs w:val="24"/>
        </w:rPr>
        <w:t>17.2</w:t>
      </w:r>
      <w:r>
        <w:rPr>
          <w:rFonts w:hint="eastAsia" w:ascii="宋体" w:hAnsi="宋体"/>
          <w:sz w:val="24"/>
          <w:szCs w:val="24"/>
        </w:rPr>
        <w:t>在开标过程中，招标人可能随时要求投标人澄清问题，各投标人应予以配合。</w:t>
      </w:r>
      <w:bookmarkEnd w:id="215"/>
    </w:p>
    <w:p>
      <w:pPr>
        <w:keepNext/>
        <w:keepLines/>
        <w:spacing w:line="360" w:lineRule="auto"/>
        <w:ind w:right="-79"/>
        <w:outlineLvl w:val="0"/>
        <w:rPr>
          <w:rFonts w:ascii="宋体"/>
          <w:b/>
          <w:bCs/>
          <w:kern w:val="44"/>
          <w:sz w:val="28"/>
          <w:szCs w:val="28"/>
        </w:rPr>
      </w:pPr>
      <w:bookmarkStart w:id="216" w:name="_22.投标文件材料合格性的确定"/>
      <w:bookmarkEnd w:id="216"/>
      <w:bookmarkStart w:id="217" w:name="_Toc226536808"/>
      <w:bookmarkStart w:id="218" w:name="_Toc232936407"/>
      <w:bookmarkStart w:id="219" w:name="_Toc4594333"/>
      <w:bookmarkStart w:id="220" w:name="_Toc4687788"/>
      <w:bookmarkStart w:id="221" w:name="_Toc7265885"/>
      <w:bookmarkStart w:id="222" w:name="_Toc64428475"/>
      <w:bookmarkStart w:id="223" w:name="_Toc73429390"/>
      <w:bookmarkStart w:id="224" w:name="_Toc104370895"/>
      <w:bookmarkStart w:id="225" w:name="_Toc122510187"/>
      <w:bookmarkStart w:id="226" w:name="_Toc144884212"/>
      <w:r>
        <w:rPr>
          <w:rFonts w:ascii="宋体" w:hAnsi="宋体"/>
          <w:b/>
          <w:bCs/>
          <w:kern w:val="44"/>
          <w:sz w:val="28"/>
          <w:szCs w:val="28"/>
        </w:rPr>
        <w:t>18.</w:t>
      </w:r>
      <w:r>
        <w:rPr>
          <w:rFonts w:hint="eastAsia" w:ascii="宋体" w:hAnsi="宋体"/>
          <w:b/>
          <w:bCs/>
          <w:kern w:val="44"/>
          <w:sz w:val="28"/>
          <w:szCs w:val="28"/>
        </w:rPr>
        <w:t>错误的修正</w:t>
      </w:r>
      <w:bookmarkEnd w:id="217"/>
      <w:bookmarkEnd w:id="218"/>
    </w:p>
    <w:p>
      <w:pPr>
        <w:spacing w:line="360" w:lineRule="auto"/>
        <w:ind w:right="-82" w:firstLine="480" w:firstLineChars="200"/>
        <w:rPr>
          <w:rFonts w:ascii="宋体"/>
          <w:sz w:val="24"/>
          <w:szCs w:val="24"/>
        </w:rPr>
      </w:pPr>
      <w:bookmarkStart w:id="227" w:name="_Toc122510188"/>
      <w:r>
        <w:rPr>
          <w:rFonts w:ascii="宋体" w:hAnsi="宋体"/>
          <w:sz w:val="24"/>
          <w:szCs w:val="24"/>
        </w:rPr>
        <w:t>18.1</w:t>
      </w:r>
      <w:r>
        <w:rPr>
          <w:rFonts w:hint="eastAsia" w:ascii="宋体" w:hAnsi="宋体"/>
          <w:sz w:val="24"/>
          <w:szCs w:val="24"/>
        </w:rPr>
        <w:t>招标工作小组在对实质上响应招标文件要求的投标进行报价评估时，除招标文件另有约定外，应当按下述原则进行修正：</w:t>
      </w:r>
      <w:bookmarkEnd w:id="227"/>
    </w:p>
    <w:p>
      <w:pPr>
        <w:spacing w:line="360" w:lineRule="auto"/>
        <w:ind w:right="-82" w:firstLine="480" w:firstLineChars="200"/>
        <w:rPr>
          <w:rFonts w:ascii="宋体"/>
          <w:sz w:val="24"/>
          <w:szCs w:val="24"/>
        </w:rPr>
      </w:pPr>
      <w:bookmarkStart w:id="228" w:name="_Toc122510189"/>
      <w:r>
        <w:rPr>
          <w:rFonts w:ascii="宋体" w:hAnsi="宋体"/>
          <w:sz w:val="24"/>
          <w:szCs w:val="24"/>
        </w:rPr>
        <w:t>18.1.1</w:t>
      </w:r>
      <w:r>
        <w:rPr>
          <w:rFonts w:hint="eastAsia" w:ascii="宋体" w:hAnsi="宋体"/>
          <w:sz w:val="24"/>
          <w:szCs w:val="24"/>
        </w:rPr>
        <w:t>如用数字表示的数额与用文字表示的数额不一致时，以文字数额为准。</w:t>
      </w:r>
      <w:bookmarkEnd w:id="228"/>
    </w:p>
    <w:p>
      <w:pPr>
        <w:spacing w:line="360" w:lineRule="auto"/>
        <w:ind w:right="-82" w:firstLine="480" w:firstLineChars="200"/>
        <w:rPr>
          <w:rFonts w:ascii="宋体"/>
          <w:sz w:val="24"/>
          <w:szCs w:val="24"/>
        </w:rPr>
      </w:pPr>
      <w:bookmarkStart w:id="229" w:name="_Toc122510190"/>
      <w:r>
        <w:rPr>
          <w:rFonts w:ascii="宋体" w:hAnsi="宋体"/>
          <w:sz w:val="24"/>
          <w:szCs w:val="24"/>
        </w:rPr>
        <w:t>18.1.2</w:t>
      </w:r>
      <w:r>
        <w:rPr>
          <w:rFonts w:hint="eastAsia" w:ascii="宋体" w:hAnsi="宋体"/>
          <w:sz w:val="24"/>
          <w:szCs w:val="24"/>
        </w:rPr>
        <w:t>当以数量和单价为基础计算的总价与投标总价不一致时，以投标总价为准并相应推算修改单价。</w:t>
      </w:r>
      <w:bookmarkEnd w:id="229"/>
    </w:p>
    <w:p>
      <w:pPr>
        <w:spacing w:line="360" w:lineRule="auto"/>
        <w:ind w:right="-82" w:firstLine="480" w:firstLineChars="200"/>
        <w:rPr>
          <w:rFonts w:ascii="宋体"/>
          <w:sz w:val="24"/>
          <w:szCs w:val="24"/>
        </w:rPr>
      </w:pPr>
      <w:r>
        <w:rPr>
          <w:rFonts w:ascii="宋体" w:hAnsi="宋体"/>
          <w:sz w:val="24"/>
          <w:szCs w:val="24"/>
        </w:rPr>
        <w:t>18.2</w:t>
      </w:r>
      <w:bookmarkStart w:id="230" w:name="_Toc122510191"/>
      <w:r>
        <w:rPr>
          <w:rFonts w:hint="eastAsia" w:ascii="宋体" w:hAnsi="宋体"/>
          <w:sz w:val="24"/>
          <w:szCs w:val="24"/>
        </w:rPr>
        <w:t>投标人不得自行修改招标文件的有关数据</w:t>
      </w:r>
      <w:bookmarkEnd w:id="230"/>
      <w:r>
        <w:rPr>
          <w:rFonts w:hint="eastAsia" w:ascii="宋体" w:hAnsi="宋体"/>
          <w:sz w:val="24"/>
          <w:szCs w:val="24"/>
        </w:rPr>
        <w:t>，否则由此造成的后果，由投标方负责。</w:t>
      </w:r>
    </w:p>
    <w:bookmarkEnd w:id="219"/>
    <w:bookmarkEnd w:id="220"/>
    <w:bookmarkEnd w:id="221"/>
    <w:bookmarkEnd w:id="222"/>
    <w:bookmarkEnd w:id="223"/>
    <w:bookmarkEnd w:id="224"/>
    <w:bookmarkEnd w:id="225"/>
    <w:bookmarkEnd w:id="226"/>
    <w:p>
      <w:pPr>
        <w:keepNext/>
        <w:keepLines/>
        <w:spacing w:line="360" w:lineRule="auto"/>
        <w:ind w:right="-79"/>
        <w:outlineLvl w:val="0"/>
        <w:rPr>
          <w:rFonts w:ascii="宋体"/>
          <w:b/>
          <w:bCs/>
          <w:kern w:val="44"/>
          <w:sz w:val="28"/>
          <w:szCs w:val="28"/>
        </w:rPr>
      </w:pPr>
      <w:bookmarkStart w:id="231" w:name="_24．_授予合同"/>
      <w:bookmarkEnd w:id="231"/>
      <w:bookmarkStart w:id="232" w:name="_Toc8809156"/>
      <w:bookmarkStart w:id="233" w:name="_Toc10270609"/>
      <w:bookmarkStart w:id="234" w:name="_Toc10278503"/>
      <w:bookmarkStart w:id="235" w:name="_Toc10278630"/>
      <w:bookmarkStart w:id="236" w:name="_Toc10369654"/>
      <w:bookmarkStart w:id="237" w:name="_Toc10369773"/>
      <w:bookmarkStart w:id="238" w:name="_Toc10522126"/>
      <w:bookmarkStart w:id="239" w:name="_Toc11652377"/>
      <w:bookmarkStart w:id="240" w:name="_Toc11947445"/>
      <w:bookmarkStart w:id="241" w:name="_Toc31256999"/>
      <w:bookmarkStart w:id="242" w:name="_Toc64428476"/>
      <w:bookmarkStart w:id="243" w:name="_Toc73429391"/>
      <w:bookmarkStart w:id="244" w:name="_Toc104370896"/>
      <w:bookmarkStart w:id="245" w:name="_Toc122510192"/>
      <w:bookmarkStart w:id="246" w:name="_Toc144884213"/>
      <w:bookmarkStart w:id="247" w:name="_Toc226536809"/>
      <w:bookmarkStart w:id="248" w:name="_Toc232936408"/>
      <w:r>
        <w:rPr>
          <w:rFonts w:ascii="宋体" w:hAnsi="宋体"/>
          <w:b/>
          <w:bCs/>
          <w:kern w:val="44"/>
          <w:sz w:val="28"/>
          <w:szCs w:val="28"/>
        </w:rPr>
        <w:t>19.</w:t>
      </w:r>
      <w:r>
        <w:rPr>
          <w:rFonts w:hint="eastAsia" w:ascii="宋体" w:hAnsi="宋体"/>
          <w:b/>
          <w:bCs/>
          <w:kern w:val="44"/>
          <w:sz w:val="28"/>
          <w:szCs w:val="28"/>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spacing w:line="440" w:lineRule="exact"/>
        <w:ind w:right="-82" w:firstLine="480" w:firstLineChars="200"/>
        <w:rPr>
          <w:rFonts w:ascii="宋体"/>
          <w:sz w:val="24"/>
          <w:szCs w:val="24"/>
        </w:rPr>
      </w:pPr>
      <w:bookmarkStart w:id="249" w:name="_Toc122510202"/>
      <w:r>
        <w:rPr>
          <w:rFonts w:ascii="宋体" w:hAnsi="宋体"/>
          <w:sz w:val="24"/>
          <w:szCs w:val="24"/>
        </w:rPr>
        <w:t>21.1.</w:t>
      </w:r>
      <w:r>
        <w:rPr>
          <w:rFonts w:hint="eastAsia" w:ascii="宋体" w:hAnsi="宋体"/>
          <w:sz w:val="24"/>
          <w:szCs w:val="24"/>
        </w:rPr>
        <w:t>自中标通知书发出之日起十日内，招标人和中标人按照招标文件和中标人的投标文件订立书面合同。</w:t>
      </w:r>
      <w:bookmarkEnd w:id="249"/>
    </w:p>
    <w:p>
      <w:pPr>
        <w:spacing w:line="440" w:lineRule="exact"/>
        <w:ind w:right="-82" w:firstLine="480" w:firstLineChars="200"/>
        <w:rPr>
          <w:rFonts w:ascii="宋体"/>
          <w:sz w:val="24"/>
          <w:szCs w:val="24"/>
        </w:rPr>
      </w:pPr>
      <w:bookmarkStart w:id="250" w:name="_Toc122510209"/>
      <w:r>
        <w:rPr>
          <w:rFonts w:ascii="宋体" w:hAnsi="宋体"/>
          <w:sz w:val="24"/>
          <w:szCs w:val="24"/>
        </w:rPr>
        <w:t>21.2</w:t>
      </w:r>
      <w:r>
        <w:rPr>
          <w:rFonts w:hint="eastAsia" w:ascii="宋体" w:hAnsi="宋体"/>
          <w:sz w:val="24"/>
          <w:szCs w:val="24"/>
        </w:rPr>
        <w:t>合同生效</w:t>
      </w:r>
      <w:bookmarkEnd w:id="250"/>
    </w:p>
    <w:p>
      <w:pPr>
        <w:spacing w:line="440" w:lineRule="exact"/>
        <w:ind w:right="-82" w:firstLine="480" w:firstLineChars="200"/>
        <w:rPr>
          <w:rFonts w:ascii="宋体"/>
          <w:sz w:val="24"/>
          <w:szCs w:val="24"/>
        </w:rPr>
      </w:pPr>
      <w:bookmarkStart w:id="251" w:name="_Toc122510210"/>
      <w:r>
        <w:rPr>
          <w:rFonts w:ascii="宋体" w:hAnsi="宋体"/>
          <w:sz w:val="24"/>
          <w:szCs w:val="24"/>
        </w:rPr>
        <w:t>21.3</w:t>
      </w:r>
      <w:r>
        <w:rPr>
          <w:rFonts w:hint="eastAsia" w:ascii="宋体" w:hAnsi="宋体"/>
          <w:sz w:val="24"/>
          <w:szCs w:val="24"/>
        </w:rPr>
        <w:t>合同经双方法定代表人或委托代理人签字盖章，后本合同生效。</w:t>
      </w:r>
      <w:bookmarkEnd w:id="251"/>
    </w:p>
    <w:p>
      <w:pPr>
        <w:spacing w:line="480" w:lineRule="exact"/>
        <w:ind w:right="-82" w:firstLine="560" w:firstLineChars="200"/>
        <w:rPr>
          <w:rFonts w:ascii="宋体"/>
          <w:sz w:val="28"/>
          <w:szCs w:val="28"/>
        </w:rPr>
      </w:pPr>
      <w:bookmarkStart w:id="252" w:name="_Toc64428479"/>
      <w:bookmarkStart w:id="253" w:name="_Toc73429394"/>
      <w:bookmarkStart w:id="254" w:name="_Toc104370898"/>
      <w:bookmarkStart w:id="255" w:name="_Toc122510213"/>
      <w:bookmarkStart w:id="256" w:name="_Toc232936410"/>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firstLine="560" w:firstLineChars="200"/>
        <w:rPr>
          <w:rFonts w:ascii="宋体"/>
          <w:sz w:val="28"/>
          <w:szCs w:val="28"/>
        </w:rPr>
      </w:pPr>
    </w:p>
    <w:p>
      <w:pPr>
        <w:spacing w:line="480" w:lineRule="exact"/>
        <w:ind w:right="-82"/>
        <w:rPr>
          <w:rFonts w:ascii="宋体"/>
          <w:sz w:val="24"/>
          <w:szCs w:val="24"/>
        </w:rPr>
      </w:pPr>
    </w:p>
    <w:p>
      <w:pPr>
        <w:keepNext/>
        <w:keepLines/>
        <w:widowControl/>
        <w:tabs>
          <w:tab w:val="left" w:pos="720"/>
        </w:tabs>
        <w:spacing w:line="360" w:lineRule="auto"/>
        <w:ind w:left="720" w:hanging="720"/>
        <w:jc w:val="center"/>
        <w:outlineLvl w:val="2"/>
        <w:rPr>
          <w:rFonts w:ascii="宋体" w:hAnsi="宋体"/>
          <w:b/>
          <w:kern w:val="0"/>
          <w:sz w:val="24"/>
          <w:szCs w:val="24"/>
          <w:lang w:val="zh-CN"/>
        </w:rPr>
      </w:pPr>
      <w:r>
        <w:rPr>
          <w:rFonts w:hint="eastAsia" w:ascii="宋体" w:hAnsi="宋体"/>
          <w:b/>
          <w:kern w:val="0"/>
          <w:sz w:val="24"/>
          <w:szCs w:val="24"/>
          <w:lang w:val="zh-CN"/>
        </w:rPr>
        <w:t>1、  投 标 函</w:t>
      </w:r>
    </w:p>
    <w:p>
      <w:pPr>
        <w:widowControl/>
        <w:spacing w:line="360" w:lineRule="auto"/>
        <w:jc w:val="left"/>
        <w:rPr>
          <w:rFonts w:ascii="宋体" w:hAnsi="宋体"/>
          <w:kern w:val="0"/>
          <w:sz w:val="24"/>
          <w:szCs w:val="24"/>
        </w:rPr>
      </w:pPr>
      <w:r>
        <w:rPr>
          <w:rFonts w:hint="eastAsia" w:ascii="宋体" w:hAnsi="宋体"/>
          <w:kern w:val="0"/>
          <w:sz w:val="24"/>
          <w:szCs w:val="24"/>
        </w:rPr>
        <w:t>致</w:t>
      </w:r>
      <w:r>
        <w:rPr>
          <w:rFonts w:hint="eastAsia" w:ascii="宋体" w:hAnsi="宋体"/>
          <w:kern w:val="0"/>
          <w:sz w:val="24"/>
          <w:szCs w:val="24"/>
          <w:u w:val="single"/>
        </w:rPr>
        <w:t xml:space="preserve">   （招标人名称）   </w:t>
      </w:r>
      <w:r>
        <w:rPr>
          <w:rFonts w:hint="eastAsia" w:ascii="宋体" w:hAnsi="宋体"/>
          <w:kern w:val="0"/>
          <w:sz w:val="24"/>
          <w:szCs w:val="24"/>
        </w:rPr>
        <w:t xml:space="preserve">： </w:t>
      </w:r>
    </w:p>
    <w:p>
      <w:pPr>
        <w:spacing w:line="360" w:lineRule="auto"/>
        <w:ind w:right="-82" w:firstLine="480" w:firstLineChars="200"/>
        <w:rPr>
          <w:rFonts w:ascii="宋体" w:hAnsi="宋体"/>
          <w:kern w:val="0"/>
          <w:sz w:val="24"/>
          <w:szCs w:val="24"/>
          <w:lang w:val="zh-CN"/>
        </w:rPr>
      </w:pPr>
      <w:r>
        <w:rPr>
          <w:rFonts w:hint="eastAsia" w:ascii="宋体" w:hAnsi="宋体"/>
          <w:kern w:val="0"/>
          <w:sz w:val="24"/>
          <w:szCs w:val="24"/>
          <w:lang w:val="zh-CN"/>
        </w:rPr>
        <w:t>我方已全面阅读和研究了贵方的</w:t>
      </w:r>
      <w:r>
        <w:rPr>
          <w:rFonts w:ascii="宋体" w:hAnsi="宋体"/>
          <w:kern w:val="0"/>
          <w:sz w:val="24"/>
          <w:szCs w:val="24"/>
          <w:lang w:val="zh-CN"/>
        </w:rPr>
        <w:t xml:space="preserve"> ___________________________</w:t>
      </w:r>
      <w:r>
        <w:rPr>
          <w:rFonts w:hint="eastAsia" w:ascii="宋体" w:hAnsi="宋体"/>
          <w:kern w:val="0"/>
          <w:sz w:val="24"/>
          <w:szCs w:val="24"/>
          <w:lang w:val="zh-CN"/>
        </w:rPr>
        <w:t>工程监理招标文件（包括补充文件），并经过对施工现场的踏勘、问题澄清，已充分理解并掌握了本工程招标的全部有关情况。现经我方认真分析研究，同意接受招标文件及其全部条件，并按此确定本工程监理投标的各项承诺内容，以本投标书向你方发包的本标的全部内容进行投标。</w:t>
      </w:r>
    </w:p>
    <w:p>
      <w:pPr>
        <w:adjustRightInd w:val="0"/>
        <w:spacing w:line="360" w:lineRule="auto"/>
        <w:ind w:firstLine="480" w:firstLineChars="200"/>
        <w:jc w:val="left"/>
        <w:textAlignment w:val="baseline"/>
        <w:outlineLvl w:val="1"/>
        <w:rPr>
          <w:rFonts w:ascii="宋体" w:hAnsi="宋体" w:cs="宋体"/>
          <w:color w:val="000000"/>
          <w:spacing w:val="9"/>
          <w:kern w:val="0"/>
          <w:sz w:val="24"/>
          <w:szCs w:val="24"/>
        </w:rPr>
      </w:pPr>
      <w:r>
        <w:rPr>
          <w:rFonts w:hint="eastAsia" w:ascii="宋体" w:hAnsi="宋体"/>
          <w:kern w:val="0"/>
          <w:sz w:val="24"/>
          <w:szCs w:val="24"/>
          <w:lang w:val="zh-CN"/>
        </w:rPr>
        <w:t>我公司投</w:t>
      </w:r>
      <w:r>
        <w:rPr>
          <w:rFonts w:hint="eastAsia" w:ascii="宋体" w:hAnsi="宋体"/>
          <w:kern w:val="0"/>
          <w:sz w:val="24"/>
          <w:szCs w:val="24"/>
        </w:rPr>
        <w:t>标</w:t>
      </w:r>
      <w:r>
        <w:rPr>
          <w:rFonts w:hint="eastAsia" w:ascii="宋体" w:hAnsi="宋体"/>
          <w:kern w:val="0"/>
          <w:sz w:val="24"/>
          <w:szCs w:val="24"/>
          <w:lang w:val="zh-CN"/>
        </w:rPr>
        <w:t>报价监理</w:t>
      </w:r>
      <w:r>
        <w:rPr>
          <w:rFonts w:hint="eastAsia" w:ascii="宋体" w:hAnsi="宋体"/>
          <w:sz w:val="24"/>
          <w:szCs w:val="24"/>
        </w:rPr>
        <w:t>总</w:t>
      </w:r>
      <w:r>
        <w:rPr>
          <w:rFonts w:hint="eastAsia" w:ascii="宋体" w:hAnsi="宋体" w:cs="宋体"/>
          <w:color w:val="000000"/>
          <w:spacing w:val="9"/>
          <w:kern w:val="0"/>
          <w:sz w:val="24"/>
          <w:szCs w:val="24"/>
        </w:rPr>
        <w:t>酬金</w:t>
      </w:r>
      <w:r>
        <w:rPr>
          <w:rFonts w:hint="eastAsia" w:ascii="宋体" w:hAnsi="宋体"/>
          <w:kern w:val="0"/>
          <w:sz w:val="24"/>
          <w:szCs w:val="24"/>
          <w:lang w:val="zh-CN"/>
        </w:rPr>
        <w:t>为</w:t>
      </w:r>
      <w:r>
        <w:rPr>
          <w:rFonts w:ascii="宋体" w:hAnsi="宋体"/>
          <w:kern w:val="0"/>
          <w:sz w:val="24"/>
          <w:szCs w:val="24"/>
          <w:lang w:val="zh-CN"/>
        </w:rPr>
        <w:t xml:space="preserve">  </w:t>
      </w:r>
      <w:r>
        <w:rPr>
          <w:rFonts w:ascii="宋体" w:hAnsi="宋体"/>
          <w:kern w:val="0"/>
          <w:sz w:val="24"/>
          <w:szCs w:val="24"/>
          <w:u w:val="single"/>
          <w:lang w:val="zh-CN"/>
        </w:rPr>
        <w:t xml:space="preserve">  </w:t>
      </w:r>
      <w:r>
        <w:rPr>
          <w:rFonts w:hint="eastAsia" w:ascii="宋体" w:hAnsi="宋体"/>
          <w:kern w:val="0"/>
          <w:sz w:val="24"/>
          <w:szCs w:val="24"/>
          <w:u w:val="single"/>
          <w:lang w:val="zh-CN"/>
        </w:rPr>
        <w:t xml:space="preserve">    </w:t>
      </w:r>
      <w:r>
        <w:rPr>
          <w:rFonts w:ascii="宋体" w:hAnsi="宋体"/>
          <w:kern w:val="0"/>
          <w:sz w:val="24"/>
          <w:szCs w:val="24"/>
          <w:u w:val="single"/>
          <w:lang w:val="zh-CN"/>
        </w:rPr>
        <w:t xml:space="preserve">     </w:t>
      </w:r>
      <w:r>
        <w:rPr>
          <w:rFonts w:hint="eastAsia" w:ascii="宋体" w:hAnsi="宋体"/>
          <w:kern w:val="0"/>
          <w:sz w:val="24"/>
          <w:szCs w:val="24"/>
          <w:lang w:val="zh-CN"/>
        </w:rPr>
        <w:t>元</w:t>
      </w:r>
      <w:r>
        <w:rPr>
          <w:rFonts w:hint="eastAsia" w:ascii="宋体" w:hAnsi="宋体"/>
          <w:kern w:val="0"/>
          <w:sz w:val="24"/>
          <w:szCs w:val="24"/>
        </w:rPr>
        <w:t xml:space="preserve">（大写） </w:t>
      </w:r>
      <w:r>
        <w:rPr>
          <w:rFonts w:hint="eastAsia" w:ascii="宋体" w:hAnsi="宋体"/>
          <w:kern w:val="0"/>
          <w:sz w:val="24"/>
          <w:szCs w:val="24"/>
          <w:u w:val="single"/>
        </w:rPr>
        <w:t xml:space="preserve">         </w:t>
      </w:r>
      <w:r>
        <w:rPr>
          <w:rFonts w:hint="eastAsia" w:ascii="宋体" w:hAnsi="宋体"/>
          <w:kern w:val="0"/>
          <w:sz w:val="24"/>
          <w:szCs w:val="24"/>
        </w:rPr>
        <w:t>元（小写）</w:t>
      </w:r>
      <w:r>
        <w:rPr>
          <w:rFonts w:hint="eastAsia" w:ascii="宋体" w:hAnsi="宋体" w:cs="宋体"/>
          <w:color w:val="000000"/>
          <w:spacing w:val="9"/>
          <w:kern w:val="0"/>
          <w:sz w:val="24"/>
          <w:szCs w:val="24"/>
        </w:rPr>
        <w:t>。</w:t>
      </w:r>
    </w:p>
    <w:p>
      <w:pPr>
        <w:adjustRightInd w:val="0"/>
        <w:spacing w:line="360" w:lineRule="auto"/>
        <w:ind w:firstLine="482" w:firstLineChars="200"/>
        <w:jc w:val="left"/>
        <w:textAlignment w:val="baseline"/>
        <w:outlineLvl w:val="1"/>
        <w:rPr>
          <w:rFonts w:ascii="宋体" w:hAnsi="宋体"/>
          <w:b/>
          <w:kern w:val="0"/>
          <w:sz w:val="24"/>
          <w:szCs w:val="24"/>
          <w:lang w:val="zh-CN"/>
        </w:rPr>
      </w:pPr>
      <w:r>
        <w:rPr>
          <w:rFonts w:hint="eastAsia" w:ascii="宋体" w:hAnsi="宋体"/>
          <w:b/>
          <w:kern w:val="0"/>
          <w:sz w:val="24"/>
          <w:szCs w:val="24"/>
        </w:rPr>
        <w:t>可提</w:t>
      </w:r>
      <w:r>
        <w:rPr>
          <w:rFonts w:hint="eastAsia" w:ascii="宋体" w:hAnsi="宋体"/>
          <w:b/>
          <w:kern w:val="0"/>
          <w:sz w:val="24"/>
          <w:szCs w:val="24"/>
          <w:lang w:val="zh-CN"/>
        </w:rPr>
        <w:t>供增值税专用发票税率为</w:t>
      </w:r>
      <w:r>
        <w:rPr>
          <w:rFonts w:hint="eastAsia" w:ascii="宋体" w:hAnsi="宋体"/>
          <w:b/>
          <w:kern w:val="0"/>
          <w:sz w:val="24"/>
          <w:szCs w:val="24"/>
          <w:u w:val="single"/>
          <w:lang w:val="zh-CN"/>
        </w:rPr>
        <w:t xml:space="preserve">     </w:t>
      </w:r>
      <w:r>
        <w:rPr>
          <w:rFonts w:hint="eastAsia" w:ascii="宋体" w:hAnsi="宋体"/>
          <w:b/>
          <w:kern w:val="0"/>
          <w:sz w:val="24"/>
          <w:szCs w:val="24"/>
          <w:lang w:val="zh-CN"/>
        </w:rPr>
        <w:t>% 。</w:t>
      </w:r>
    </w:p>
    <w:p>
      <w:pPr>
        <w:adjustRightInd w:val="0"/>
        <w:spacing w:line="360" w:lineRule="auto"/>
        <w:ind w:firstLine="480" w:firstLineChars="200"/>
        <w:jc w:val="left"/>
        <w:textAlignment w:val="baseline"/>
        <w:outlineLvl w:val="1"/>
        <w:rPr>
          <w:rFonts w:ascii="宋体" w:hAnsi="宋体"/>
          <w:kern w:val="0"/>
          <w:sz w:val="24"/>
          <w:szCs w:val="24"/>
          <w:lang w:val="zh-CN"/>
        </w:rPr>
      </w:pPr>
    </w:p>
    <w:p>
      <w:pPr>
        <w:pStyle w:val="48"/>
        <w:shd w:val="clear" w:color="auto" w:fill="FFFFFF"/>
        <w:spacing w:before="0" w:beforeAutospacing="0" w:after="0" w:afterAutospacing="0" w:line="360" w:lineRule="auto"/>
        <w:ind w:firstLine="480" w:firstLineChars="200"/>
        <w:rPr>
          <w:rFonts w:cs="Times New Roman"/>
          <w:lang w:val="zh-CN"/>
        </w:rPr>
      </w:pPr>
      <w:r>
        <w:rPr>
          <w:rFonts w:hint="eastAsia" w:cs="Times New Roman"/>
          <w:lang w:val="zh-CN"/>
        </w:rPr>
        <w:t>负责本项目的总监是</w:t>
      </w:r>
      <w:r>
        <w:rPr>
          <w:lang w:val="zh-CN"/>
        </w:rPr>
        <w:t xml:space="preserve"> </w:t>
      </w:r>
      <w:r>
        <w:rPr>
          <w:u w:val="single"/>
          <w:lang w:val="zh-CN"/>
        </w:rPr>
        <w:t xml:space="preserve">  </w:t>
      </w:r>
      <w:r>
        <w:rPr>
          <w:rFonts w:hint="eastAsia"/>
          <w:u w:val="single"/>
          <w:lang w:val="zh-CN"/>
        </w:rPr>
        <w:t xml:space="preserve">    </w:t>
      </w:r>
      <w:r>
        <w:rPr>
          <w:u w:val="single"/>
          <w:lang w:val="zh-CN"/>
        </w:rPr>
        <w:t xml:space="preserve">     </w:t>
      </w:r>
      <w:r>
        <w:rPr>
          <w:rFonts w:hint="eastAsia" w:cs="Times New Roman"/>
          <w:lang w:val="zh-CN"/>
        </w:rPr>
        <w:t>、监理工程师人数</w:t>
      </w:r>
      <w:r>
        <w:rPr>
          <w:lang w:val="zh-CN"/>
        </w:rPr>
        <w:t xml:space="preserve"> </w:t>
      </w:r>
      <w:r>
        <w:rPr>
          <w:u w:val="single"/>
          <w:lang w:val="zh-CN"/>
        </w:rPr>
        <w:t xml:space="preserve">  </w:t>
      </w:r>
      <w:r>
        <w:rPr>
          <w:rFonts w:hint="eastAsia"/>
          <w:u w:val="single"/>
          <w:lang w:val="zh-CN"/>
        </w:rPr>
        <w:t xml:space="preserve">    </w:t>
      </w:r>
      <w:r>
        <w:rPr>
          <w:u w:val="single"/>
          <w:lang w:val="zh-CN"/>
        </w:rPr>
        <w:t xml:space="preserve">    </w:t>
      </w:r>
      <w:r>
        <w:rPr>
          <w:rFonts w:hint="eastAsia" w:cs="Times New Roman"/>
          <w:lang w:val="zh-CN"/>
        </w:rPr>
        <w:t>、监理员人数为 ______人，施工质量控制目标为________，施工进度控制目标为________。</w:t>
      </w:r>
    </w:p>
    <w:p>
      <w:pPr>
        <w:spacing w:line="360" w:lineRule="auto"/>
        <w:ind w:right="-82" w:firstLine="480" w:firstLineChars="200"/>
        <w:rPr>
          <w:rFonts w:ascii="宋体" w:hAnsi="宋体"/>
          <w:kern w:val="0"/>
          <w:sz w:val="24"/>
          <w:szCs w:val="24"/>
        </w:rPr>
      </w:pP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lang w:val="zh-CN"/>
        </w:rPr>
        <w:t>若</w:t>
      </w:r>
      <w:r>
        <w:rPr>
          <w:rFonts w:hint="eastAsia" w:ascii="宋体" w:hAnsi="宋体"/>
          <w:kern w:val="0"/>
          <w:sz w:val="24"/>
          <w:szCs w:val="24"/>
        </w:rPr>
        <w:t>我方中标，我方承诺响应下列条款：</w:t>
      </w:r>
    </w:p>
    <w:p>
      <w:pPr>
        <w:widowControl/>
        <w:autoSpaceDE w:val="0"/>
        <w:autoSpaceDN w:val="0"/>
        <w:spacing w:line="360" w:lineRule="auto"/>
        <w:ind w:firstLine="480"/>
        <w:jc w:val="left"/>
        <w:rPr>
          <w:rFonts w:ascii="宋体" w:hAnsi="宋体"/>
          <w:sz w:val="24"/>
          <w:szCs w:val="24"/>
        </w:rPr>
      </w:pPr>
      <w:r>
        <w:rPr>
          <w:rFonts w:hint="eastAsia" w:ascii="宋体" w:hAnsi="宋体"/>
          <w:kern w:val="0"/>
          <w:sz w:val="24"/>
          <w:szCs w:val="24"/>
        </w:rPr>
        <w:t>1、将按照招标文件的具体规定与项目法人签订工程监理合同，并且严格按</w:t>
      </w:r>
      <w:r>
        <w:rPr>
          <w:rFonts w:hint="eastAsia" w:ascii="宋体" w:hAnsi="宋体"/>
          <w:sz w:val="24"/>
          <w:szCs w:val="24"/>
        </w:rPr>
        <w:t>按招标文件的规定履行合同责任和义务。</w:t>
      </w:r>
    </w:p>
    <w:p>
      <w:pPr>
        <w:widowControl/>
        <w:autoSpaceDE w:val="0"/>
        <w:autoSpaceDN w:val="0"/>
        <w:spacing w:line="360" w:lineRule="auto"/>
        <w:ind w:firstLine="480"/>
        <w:jc w:val="left"/>
        <w:rPr>
          <w:rFonts w:ascii="宋体" w:hAnsi="宋体"/>
          <w:kern w:val="0"/>
          <w:sz w:val="24"/>
          <w:szCs w:val="24"/>
        </w:rPr>
      </w:pPr>
      <w:r>
        <w:rPr>
          <w:rFonts w:hint="eastAsia" w:ascii="宋体" w:hAnsi="宋体"/>
          <w:kern w:val="0"/>
          <w:sz w:val="24"/>
          <w:szCs w:val="24"/>
        </w:rPr>
        <w:t>2、对施工现场常驻人员的承诺：</w:t>
      </w:r>
      <w:r>
        <w:rPr>
          <w:rFonts w:hint="eastAsia" w:ascii="宋体" w:hAnsi="宋体"/>
          <w:kern w:val="0"/>
          <w:sz w:val="24"/>
          <w:szCs w:val="24"/>
          <w:u w:val="single"/>
        </w:rPr>
        <w:t xml:space="preserve">                                     </w:t>
      </w:r>
      <w:r>
        <w:rPr>
          <w:rFonts w:hint="eastAsia" w:ascii="宋体" w:hAnsi="宋体"/>
          <w:kern w:val="0"/>
          <w:sz w:val="24"/>
          <w:szCs w:val="24"/>
        </w:rPr>
        <w:t>。</w:t>
      </w:r>
    </w:p>
    <w:p>
      <w:pPr>
        <w:widowControl/>
        <w:autoSpaceDE w:val="0"/>
        <w:autoSpaceDN w:val="0"/>
        <w:spacing w:line="360" w:lineRule="auto"/>
        <w:ind w:firstLine="480"/>
        <w:jc w:val="left"/>
        <w:rPr>
          <w:rFonts w:ascii="宋体" w:hAnsi="宋体"/>
          <w:kern w:val="0"/>
          <w:sz w:val="24"/>
          <w:szCs w:val="24"/>
          <w:lang w:val="zh-CN"/>
        </w:rPr>
      </w:pPr>
      <w:r>
        <w:rPr>
          <w:rFonts w:hint="eastAsia" w:ascii="宋体" w:hAnsi="宋体"/>
          <w:kern w:val="0"/>
          <w:sz w:val="24"/>
          <w:szCs w:val="24"/>
        </w:rPr>
        <w:t>3、</w:t>
      </w:r>
      <w:r>
        <w:rPr>
          <w:rFonts w:hint="eastAsia" w:ascii="宋体" w:hAnsi="宋体"/>
          <w:kern w:val="0"/>
          <w:sz w:val="24"/>
          <w:szCs w:val="24"/>
          <w:lang w:val="zh-CN"/>
        </w:rPr>
        <w:t>提交</w:t>
      </w:r>
      <w:r>
        <w:rPr>
          <w:rFonts w:ascii="宋体" w:hAnsi="宋体"/>
          <w:kern w:val="0"/>
          <w:sz w:val="24"/>
          <w:szCs w:val="24"/>
          <w:lang w:val="zh-CN"/>
        </w:rPr>
        <w:t>的投标文件在招标文件规定的投标有效期内有效，在此期限届满前，本投标文件将始终对我们具有约束力，并可随时被接纳。</w:t>
      </w:r>
    </w:p>
    <w:p>
      <w:pPr>
        <w:widowControl/>
        <w:autoSpaceDE w:val="0"/>
        <w:autoSpaceDN w:val="0"/>
        <w:spacing w:line="360" w:lineRule="auto"/>
        <w:ind w:firstLine="480" w:firstLineChars="200"/>
        <w:jc w:val="left"/>
        <w:rPr>
          <w:rFonts w:ascii="宋体" w:hAnsi="宋体"/>
          <w:kern w:val="0"/>
          <w:sz w:val="24"/>
          <w:szCs w:val="24"/>
          <w:lang w:val="zh-CN"/>
        </w:rPr>
      </w:pPr>
    </w:p>
    <w:p>
      <w:pPr>
        <w:widowControl/>
        <w:autoSpaceDE w:val="0"/>
        <w:autoSpaceDN w:val="0"/>
        <w:spacing w:line="360" w:lineRule="auto"/>
        <w:ind w:firstLine="480" w:firstLineChars="200"/>
        <w:jc w:val="left"/>
        <w:rPr>
          <w:rFonts w:ascii="宋体" w:hAnsi="宋体"/>
          <w:kern w:val="0"/>
          <w:sz w:val="24"/>
          <w:szCs w:val="24"/>
        </w:rPr>
      </w:pPr>
      <w:r>
        <w:rPr>
          <w:rFonts w:ascii="宋体" w:hAnsi="宋体"/>
          <w:kern w:val="0"/>
          <w:sz w:val="24"/>
          <w:szCs w:val="24"/>
          <w:lang w:val="zh-CN"/>
        </w:rPr>
        <w:t>法定代表人或授权委托人：</w:t>
      </w:r>
      <w:r>
        <w:rPr>
          <w:rFonts w:ascii="宋体" w:hAnsi="宋体"/>
          <w:kern w:val="0"/>
          <w:sz w:val="24"/>
          <w:szCs w:val="24"/>
        </w:rPr>
        <w:t xml:space="preserve">    </w:t>
      </w:r>
      <w:r>
        <w:rPr>
          <w:rFonts w:ascii="宋体" w:hAnsi="宋体"/>
          <w:kern w:val="0"/>
          <w:sz w:val="24"/>
          <w:szCs w:val="24"/>
          <w:lang w:val="zh-CN"/>
        </w:rPr>
        <w:t>（签</w:t>
      </w:r>
      <w:r>
        <w:rPr>
          <w:rFonts w:hint="eastAsia" w:ascii="宋体" w:hAnsi="宋体"/>
          <w:kern w:val="0"/>
          <w:sz w:val="24"/>
          <w:szCs w:val="24"/>
          <w:lang w:val="zh-CN"/>
        </w:rPr>
        <w:t>字或盖</w:t>
      </w:r>
      <w:r>
        <w:rPr>
          <w:rFonts w:ascii="宋体" w:hAnsi="宋体"/>
          <w:kern w:val="0"/>
          <w:sz w:val="24"/>
          <w:szCs w:val="24"/>
          <w:lang w:val="zh-CN"/>
        </w:rPr>
        <w:t>章）</w:t>
      </w:r>
      <w:r>
        <w:rPr>
          <w:rFonts w:ascii="宋体" w:hAnsi="宋体"/>
          <w:kern w:val="0"/>
          <w:sz w:val="24"/>
          <w:szCs w:val="24"/>
        </w:rPr>
        <w:t xml:space="preserve">  </w:t>
      </w:r>
    </w:p>
    <w:p>
      <w:pPr>
        <w:widowControl/>
        <w:autoSpaceDE w:val="0"/>
        <w:autoSpaceDN w:val="0"/>
        <w:spacing w:line="360" w:lineRule="auto"/>
        <w:ind w:firstLine="480"/>
        <w:jc w:val="left"/>
        <w:rPr>
          <w:rFonts w:ascii="宋体" w:hAnsi="宋体"/>
          <w:kern w:val="0"/>
          <w:sz w:val="24"/>
          <w:szCs w:val="24"/>
          <w:lang w:val="zh-CN"/>
        </w:rPr>
      </w:pPr>
    </w:p>
    <w:p>
      <w:pPr>
        <w:widowControl/>
        <w:autoSpaceDE w:val="0"/>
        <w:autoSpaceDN w:val="0"/>
        <w:spacing w:line="360" w:lineRule="auto"/>
        <w:ind w:firstLine="567"/>
        <w:rPr>
          <w:rFonts w:ascii="宋体" w:hAnsi="宋体"/>
          <w:kern w:val="0"/>
          <w:sz w:val="24"/>
          <w:szCs w:val="24"/>
        </w:rPr>
      </w:pPr>
      <w:r>
        <w:rPr>
          <w:rFonts w:ascii="宋体" w:hAnsi="宋体"/>
          <w:kern w:val="0"/>
          <w:sz w:val="24"/>
          <w:szCs w:val="24"/>
          <w:lang w:val="zh-CN"/>
        </w:rPr>
        <w:t>投标人：</w:t>
      </w:r>
      <w:r>
        <w:rPr>
          <w:rFonts w:hint="eastAsia" w:ascii="宋体" w:hAnsi="宋体"/>
          <w:kern w:val="0"/>
          <w:sz w:val="24"/>
          <w:szCs w:val="24"/>
          <w:lang w:val="zh-CN"/>
        </w:rPr>
        <w:t>（单位公章）</w:t>
      </w:r>
    </w:p>
    <w:p>
      <w:pPr>
        <w:widowControl/>
        <w:autoSpaceDE w:val="0"/>
        <w:autoSpaceDN w:val="0"/>
        <w:spacing w:line="360" w:lineRule="auto"/>
        <w:ind w:firstLine="480" w:firstLineChars="200"/>
        <w:jc w:val="left"/>
        <w:rPr>
          <w:rFonts w:ascii="宋体" w:hAnsi="宋体"/>
          <w:kern w:val="0"/>
          <w:sz w:val="24"/>
          <w:szCs w:val="24"/>
        </w:rPr>
      </w:pPr>
    </w:p>
    <w:p>
      <w:pPr>
        <w:widowControl/>
        <w:autoSpaceDE w:val="0"/>
        <w:autoSpaceDN w:val="0"/>
        <w:spacing w:line="360" w:lineRule="auto"/>
        <w:ind w:firstLine="480" w:firstLineChars="200"/>
        <w:jc w:val="right"/>
        <w:rPr>
          <w:rFonts w:ascii="宋体" w:hAnsi="宋体"/>
          <w:kern w:val="0"/>
          <w:sz w:val="24"/>
          <w:szCs w:val="24"/>
        </w:rPr>
      </w:pPr>
      <w:r>
        <w:rPr>
          <w:rFonts w:hint="eastAsia" w:ascii="宋体" w:hAnsi="宋体"/>
          <w:kern w:val="0"/>
          <w:sz w:val="24"/>
          <w:szCs w:val="24"/>
        </w:rPr>
        <w:t>年   月  日</w:t>
      </w:r>
    </w:p>
    <w:p>
      <w:pPr>
        <w:tabs>
          <w:tab w:val="left" w:pos="6285"/>
        </w:tabs>
        <w:rPr>
          <w:rFonts w:ascii="宋体" w:hAnsi="宋体"/>
          <w:sz w:val="24"/>
          <w:szCs w:val="24"/>
        </w:rPr>
      </w:pPr>
    </w:p>
    <w:p>
      <w:pPr>
        <w:rPr>
          <w:rFonts w:ascii="宋体" w:hAnsi="宋体"/>
          <w:sz w:val="24"/>
          <w:szCs w:val="24"/>
        </w:rPr>
        <w:sectPr>
          <w:headerReference r:id="rId3" w:type="default"/>
          <w:footerReference r:id="rId4" w:type="default"/>
          <w:footerReference r:id="rId5" w:type="even"/>
          <w:pgSz w:w="11906" w:h="16838"/>
          <w:pgMar w:top="1077" w:right="1134" w:bottom="1021" w:left="1134" w:header="851" w:footer="992" w:gutter="0"/>
          <w:cols w:space="425" w:num="1"/>
          <w:docGrid w:linePitch="312" w:charSpace="0"/>
        </w:sectPr>
      </w:pPr>
    </w:p>
    <w:p>
      <w:pPr>
        <w:spacing w:line="480" w:lineRule="exact"/>
        <w:ind w:right="-82" w:firstLine="560" w:firstLineChars="200"/>
        <w:rPr>
          <w:rFonts w:ascii="宋体"/>
          <w:sz w:val="28"/>
          <w:szCs w:val="28"/>
        </w:rPr>
      </w:pPr>
    </w:p>
    <w:p>
      <w:pPr>
        <w:keepNext/>
        <w:keepLines/>
        <w:widowControl/>
        <w:tabs>
          <w:tab w:val="left" w:pos="720"/>
        </w:tabs>
        <w:spacing w:line="360" w:lineRule="auto"/>
        <w:ind w:left="720" w:hanging="720"/>
        <w:jc w:val="center"/>
        <w:outlineLvl w:val="2"/>
        <w:rPr>
          <w:rFonts w:ascii="宋体" w:hAnsi="宋体"/>
          <w:b/>
          <w:kern w:val="0"/>
          <w:sz w:val="24"/>
          <w:szCs w:val="24"/>
          <w:lang w:val="zh-CN"/>
        </w:rPr>
      </w:pPr>
      <w:r>
        <w:rPr>
          <w:rFonts w:hint="eastAsia" w:ascii="宋体" w:hAnsi="宋体"/>
          <w:b/>
          <w:kern w:val="0"/>
          <w:sz w:val="24"/>
          <w:szCs w:val="24"/>
          <w:lang w:val="zh-CN"/>
        </w:rPr>
        <w:t>2、  法定代表人身份证明书</w:t>
      </w:r>
    </w:p>
    <w:p>
      <w:pPr>
        <w:widowControl/>
        <w:spacing w:line="360" w:lineRule="auto"/>
        <w:jc w:val="center"/>
        <w:rPr>
          <w:rFonts w:ascii="宋体" w:hAnsi="宋体"/>
          <w:b/>
          <w:kern w:val="0"/>
          <w:sz w:val="24"/>
          <w:szCs w:val="24"/>
        </w:rPr>
      </w:pPr>
    </w:p>
    <w:p>
      <w:pPr>
        <w:widowControl/>
        <w:spacing w:line="360" w:lineRule="auto"/>
        <w:ind w:firstLine="612"/>
        <w:jc w:val="left"/>
        <w:rPr>
          <w:rFonts w:ascii="宋体" w:hAnsi="宋体"/>
          <w:kern w:val="0"/>
          <w:sz w:val="24"/>
          <w:szCs w:val="24"/>
        </w:rPr>
      </w:pPr>
      <w:r>
        <w:rPr>
          <w:rFonts w:hint="eastAsia" w:ascii="宋体" w:hAnsi="宋体"/>
          <w:kern w:val="0"/>
          <w:sz w:val="24"/>
          <w:szCs w:val="24"/>
        </w:rPr>
        <w:t>投标人名称：</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2"/>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单位性质：</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地</w:t>
      </w:r>
      <w:r>
        <w:rPr>
          <w:rFonts w:ascii="宋体" w:hAnsi="宋体"/>
          <w:kern w:val="0"/>
          <w:sz w:val="24"/>
          <w:szCs w:val="24"/>
        </w:rPr>
        <w:t xml:space="preserve">    址：</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ab/>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成立时间：</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rPr>
        <w:t>年</w:t>
      </w:r>
      <w:r>
        <w:rPr>
          <w:rFonts w:ascii="宋体" w:hAnsi="宋体"/>
          <w:kern w:val="0"/>
          <w:sz w:val="24"/>
          <w:szCs w:val="24"/>
          <w:u w:val="single"/>
        </w:rPr>
        <w:t xml:space="preserve">        </w:t>
      </w:r>
      <w:r>
        <w:rPr>
          <w:rFonts w:hint="eastAsia" w:ascii="宋体" w:hAnsi="宋体"/>
          <w:kern w:val="0"/>
          <w:sz w:val="24"/>
          <w:szCs w:val="24"/>
        </w:rPr>
        <w:t>月</w:t>
      </w:r>
      <w:r>
        <w:rPr>
          <w:rFonts w:ascii="宋体" w:hAnsi="宋体"/>
          <w:kern w:val="0"/>
          <w:sz w:val="24"/>
          <w:szCs w:val="24"/>
          <w:u w:val="single"/>
        </w:rPr>
        <w:t xml:space="preserve">       </w:t>
      </w:r>
      <w:r>
        <w:rPr>
          <w:rFonts w:hint="eastAsia" w:ascii="宋体" w:hAnsi="宋体"/>
          <w:kern w:val="0"/>
          <w:sz w:val="24"/>
          <w:szCs w:val="24"/>
        </w:rPr>
        <w:t>日</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经营期限：</w:t>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u w:val="single"/>
        </w:rPr>
      </w:pPr>
      <w:r>
        <w:rPr>
          <w:rFonts w:hint="eastAsia" w:ascii="宋体" w:hAnsi="宋体"/>
          <w:kern w:val="0"/>
          <w:sz w:val="24"/>
          <w:szCs w:val="24"/>
        </w:rPr>
        <w:t>姓</w:t>
      </w:r>
      <w:r>
        <w:rPr>
          <w:rFonts w:ascii="宋体" w:hAnsi="宋体"/>
          <w:kern w:val="0"/>
          <w:sz w:val="24"/>
          <w:szCs w:val="24"/>
        </w:rPr>
        <w:t xml:space="preserve">    名：</w:t>
      </w:r>
      <w:r>
        <w:rPr>
          <w:rFonts w:ascii="宋体" w:hAnsi="宋体"/>
          <w:kern w:val="0"/>
          <w:sz w:val="24"/>
          <w:szCs w:val="24"/>
          <w:u w:val="single"/>
        </w:rPr>
        <w:t xml:space="preserve">      </w:t>
      </w:r>
      <w:r>
        <w:rPr>
          <w:rFonts w:ascii="宋体" w:hAnsi="宋体"/>
          <w:kern w:val="0"/>
          <w:sz w:val="24"/>
          <w:szCs w:val="24"/>
        </w:rPr>
        <w:t>性别：</w:t>
      </w:r>
      <w:r>
        <w:rPr>
          <w:rFonts w:ascii="宋体" w:hAnsi="宋体"/>
          <w:kern w:val="0"/>
          <w:sz w:val="24"/>
          <w:szCs w:val="24"/>
          <w:u w:val="single"/>
        </w:rPr>
        <w:t xml:space="preserve">    </w:t>
      </w:r>
      <w:r>
        <w:rPr>
          <w:rFonts w:ascii="宋体" w:hAnsi="宋体"/>
          <w:kern w:val="0"/>
          <w:sz w:val="24"/>
          <w:szCs w:val="24"/>
        </w:rPr>
        <w:t>年龄：</w:t>
      </w:r>
      <w:r>
        <w:rPr>
          <w:rFonts w:ascii="宋体" w:hAnsi="宋体"/>
          <w:kern w:val="0"/>
          <w:sz w:val="24"/>
          <w:szCs w:val="24"/>
          <w:u w:val="single"/>
        </w:rPr>
        <w:t xml:space="preserve">     </w:t>
      </w:r>
      <w:r>
        <w:rPr>
          <w:rFonts w:ascii="宋体" w:hAnsi="宋体"/>
          <w:kern w:val="0"/>
          <w:sz w:val="24"/>
          <w:szCs w:val="24"/>
        </w:rPr>
        <w:t>职务：</w:t>
      </w:r>
      <w:r>
        <w:rPr>
          <w:rFonts w:hint="eastAsia" w:ascii="宋体" w:hAnsi="宋体"/>
          <w:kern w:val="0"/>
          <w:sz w:val="24"/>
          <w:szCs w:val="24"/>
          <w:u w:val="single"/>
        </w:rPr>
        <w:tab/>
      </w:r>
      <w:r>
        <w:rPr>
          <w:rFonts w:hint="eastAsia" w:ascii="宋体" w:hAnsi="宋体"/>
          <w:kern w:val="0"/>
          <w:sz w:val="24"/>
          <w:szCs w:val="24"/>
          <w:u w:val="single"/>
        </w:rPr>
        <w:tab/>
      </w:r>
      <w:r>
        <w:rPr>
          <w:rFonts w:hint="eastAsia" w:ascii="宋体" w:hAnsi="宋体"/>
          <w:kern w:val="0"/>
          <w:sz w:val="24"/>
          <w:szCs w:val="24"/>
          <w:u w:val="single"/>
        </w:rPr>
        <w:t xml:space="preserve"> </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系</w:t>
      </w:r>
      <w:r>
        <w:rPr>
          <w:rFonts w:ascii="宋体" w:hAnsi="宋体"/>
          <w:kern w:val="0"/>
          <w:sz w:val="24"/>
          <w:szCs w:val="24"/>
          <w:u w:val="single"/>
        </w:rPr>
        <w:t xml:space="preserve">       （投标人单位名称）  </w:t>
      </w:r>
      <w:r>
        <w:rPr>
          <w:rFonts w:hint="eastAsia" w:ascii="宋体" w:hAnsi="宋体"/>
          <w:kern w:val="0"/>
          <w:sz w:val="24"/>
          <w:szCs w:val="24"/>
        </w:rPr>
        <w:t>的法定代表人。</w:t>
      </w:r>
    </w:p>
    <w:p>
      <w:pPr>
        <w:widowControl/>
        <w:spacing w:line="360" w:lineRule="auto"/>
        <w:ind w:firstLine="610"/>
        <w:jc w:val="left"/>
        <w:rPr>
          <w:rFonts w:ascii="宋体" w:hAnsi="宋体"/>
          <w:kern w:val="0"/>
          <w:sz w:val="24"/>
          <w:szCs w:val="24"/>
        </w:rPr>
      </w:pPr>
    </w:p>
    <w:p>
      <w:pPr>
        <w:widowControl/>
        <w:spacing w:line="360" w:lineRule="auto"/>
        <w:ind w:firstLine="610"/>
        <w:jc w:val="left"/>
        <w:rPr>
          <w:rFonts w:ascii="宋体" w:hAnsi="宋体"/>
          <w:kern w:val="0"/>
          <w:sz w:val="24"/>
          <w:szCs w:val="24"/>
        </w:rPr>
      </w:pPr>
      <w:r>
        <w:rPr>
          <w:rFonts w:hint="eastAsia" w:ascii="宋体" w:hAnsi="宋体"/>
          <w:kern w:val="0"/>
          <w:sz w:val="24"/>
          <w:szCs w:val="24"/>
        </w:rPr>
        <w:t>特此证明。</w:t>
      </w:r>
    </w:p>
    <w:p>
      <w:pPr>
        <w:widowControl/>
        <w:spacing w:line="360" w:lineRule="auto"/>
        <w:jc w:val="left"/>
        <w:rPr>
          <w:rFonts w:ascii="宋体" w:hAnsi="宋体" w:cs="宋体"/>
          <w:kern w:val="0"/>
          <w:sz w:val="24"/>
          <w:szCs w:val="24"/>
        </w:rPr>
      </w:pPr>
      <w:r>
        <w:rPr>
          <w:rFonts w:hint="eastAsia" w:ascii="宋体" w:hAnsi="宋体" w:cs="宋体"/>
          <w:b/>
          <w:kern w:val="0"/>
          <w:sz w:val="24"/>
          <w:szCs w:val="24"/>
        </w:rPr>
        <w:t>附：法定代表人身份证或军官证复印件，若身份证为新版身份证，必须提供正面、背面双面身份证复印件</w:t>
      </w: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480" w:firstLineChars="200"/>
        <w:jc w:val="left"/>
        <w:rPr>
          <w:rFonts w:ascii="宋体" w:hAnsi="宋体"/>
          <w:kern w:val="0"/>
          <w:sz w:val="24"/>
          <w:szCs w:val="24"/>
        </w:rPr>
      </w:pPr>
    </w:p>
    <w:p>
      <w:pPr>
        <w:widowControl/>
        <w:tabs>
          <w:tab w:val="left" w:pos="720"/>
          <w:tab w:val="left" w:pos="900"/>
        </w:tabs>
        <w:spacing w:line="360" w:lineRule="auto"/>
        <w:ind w:firstLine="3960" w:firstLineChars="1650"/>
        <w:jc w:val="left"/>
        <w:rPr>
          <w:rFonts w:ascii="宋体" w:hAnsi="宋体"/>
          <w:kern w:val="0"/>
          <w:sz w:val="24"/>
          <w:szCs w:val="24"/>
        </w:rPr>
      </w:pPr>
      <w:r>
        <w:rPr>
          <w:rFonts w:hint="eastAsia" w:ascii="宋体" w:hAnsi="宋体"/>
          <w:kern w:val="0"/>
          <w:sz w:val="24"/>
          <w:szCs w:val="24"/>
        </w:rPr>
        <w:t>投标人：</w:t>
      </w:r>
      <w:r>
        <w:rPr>
          <w:rFonts w:ascii="宋体" w:hAnsi="宋体"/>
          <w:kern w:val="0"/>
          <w:sz w:val="24"/>
          <w:szCs w:val="24"/>
          <w:u w:val="single"/>
        </w:rPr>
        <w:t xml:space="preserve">           （盖公章）</w:t>
      </w:r>
      <w:r>
        <w:rPr>
          <w:rFonts w:hint="eastAsia" w:ascii="宋体" w:hAnsi="宋体"/>
          <w:kern w:val="0"/>
          <w:sz w:val="24"/>
          <w:szCs w:val="24"/>
          <w:u w:val="single"/>
        </w:rPr>
        <w:t xml:space="preserve">         </w:t>
      </w:r>
    </w:p>
    <w:p>
      <w:pPr>
        <w:widowControl/>
        <w:tabs>
          <w:tab w:val="left" w:pos="720"/>
          <w:tab w:val="left" w:pos="900"/>
        </w:tabs>
        <w:spacing w:line="360" w:lineRule="auto"/>
        <w:ind w:firstLine="720" w:firstLineChars="300"/>
        <w:jc w:val="left"/>
        <w:rPr>
          <w:rFonts w:ascii="宋体" w:hAnsi="宋体"/>
          <w:kern w:val="0"/>
          <w:sz w:val="24"/>
          <w:szCs w:val="24"/>
        </w:rPr>
      </w:pPr>
    </w:p>
    <w:p>
      <w:pPr>
        <w:widowControl/>
        <w:tabs>
          <w:tab w:val="left" w:pos="720"/>
          <w:tab w:val="left" w:pos="900"/>
        </w:tabs>
        <w:spacing w:line="360" w:lineRule="auto"/>
        <w:ind w:firstLine="4200" w:firstLineChars="1750"/>
        <w:jc w:val="left"/>
        <w:rPr>
          <w:rFonts w:ascii="宋体" w:hAnsi="宋体"/>
          <w:kern w:val="0"/>
          <w:sz w:val="24"/>
          <w:szCs w:val="24"/>
        </w:rPr>
      </w:pPr>
      <w:r>
        <w:rPr>
          <w:rFonts w:hint="eastAsia" w:ascii="宋体" w:hAnsi="宋体"/>
          <w:kern w:val="0"/>
          <w:sz w:val="24"/>
          <w:szCs w:val="24"/>
        </w:rPr>
        <w:t>日</w:t>
      </w:r>
      <w:r>
        <w:rPr>
          <w:rFonts w:ascii="宋体" w:hAnsi="宋体"/>
          <w:kern w:val="0"/>
          <w:sz w:val="24"/>
          <w:szCs w:val="24"/>
        </w:rPr>
        <w:t xml:space="preserve">    期：</w:t>
      </w:r>
      <w:r>
        <w:rPr>
          <w:rFonts w:ascii="宋体" w:hAnsi="宋体"/>
          <w:kern w:val="0"/>
          <w:sz w:val="24"/>
          <w:szCs w:val="24"/>
          <w:u w:val="single"/>
        </w:rPr>
        <w:t xml:space="preserve">      </w:t>
      </w:r>
      <w:r>
        <w:rPr>
          <w:rFonts w:ascii="宋体" w:hAnsi="宋体"/>
          <w:kern w:val="0"/>
          <w:sz w:val="24"/>
          <w:szCs w:val="24"/>
        </w:rPr>
        <w:t>年</w:t>
      </w:r>
      <w:r>
        <w:rPr>
          <w:rFonts w:ascii="宋体" w:hAnsi="宋体"/>
          <w:kern w:val="0"/>
          <w:sz w:val="24"/>
          <w:szCs w:val="24"/>
          <w:u w:val="single"/>
        </w:rPr>
        <w:t xml:space="preserve">     </w:t>
      </w:r>
      <w:r>
        <w:rPr>
          <w:rFonts w:ascii="宋体" w:hAnsi="宋体"/>
          <w:kern w:val="0"/>
          <w:sz w:val="24"/>
          <w:szCs w:val="24"/>
        </w:rPr>
        <w:t>月</w:t>
      </w:r>
      <w:r>
        <w:rPr>
          <w:rFonts w:ascii="宋体" w:hAnsi="宋体"/>
          <w:kern w:val="0"/>
          <w:sz w:val="24"/>
          <w:szCs w:val="24"/>
          <w:u w:val="single"/>
        </w:rPr>
        <w:t xml:space="preserve">     </w:t>
      </w:r>
      <w:r>
        <w:rPr>
          <w:rFonts w:ascii="宋体" w:hAnsi="宋体"/>
          <w:kern w:val="0"/>
          <w:sz w:val="24"/>
          <w:szCs w:val="24"/>
        </w:rPr>
        <w:t>日</w:t>
      </w:r>
    </w:p>
    <w:p>
      <w:pPr>
        <w:widowControl/>
        <w:spacing w:line="360" w:lineRule="auto"/>
        <w:jc w:val="left"/>
        <w:rPr>
          <w:rFonts w:ascii="宋体" w:hAnsi="宋体"/>
          <w:kern w:val="0"/>
          <w:sz w:val="24"/>
          <w:szCs w:val="24"/>
        </w:rPr>
      </w:pPr>
    </w:p>
    <w:p>
      <w:pPr>
        <w:widowControl/>
        <w:spacing w:line="360" w:lineRule="auto"/>
        <w:jc w:val="left"/>
        <w:rPr>
          <w:rFonts w:ascii="宋体" w:hAnsi="宋体"/>
          <w:kern w:val="0"/>
          <w:sz w:val="24"/>
          <w:szCs w:val="24"/>
        </w:rPr>
      </w:pPr>
    </w:p>
    <w:p>
      <w:pPr>
        <w:tabs>
          <w:tab w:val="left" w:pos="6285"/>
        </w:tabs>
        <w:rPr>
          <w:rFonts w:ascii="宋体" w:hAnsi="宋体"/>
          <w:sz w:val="24"/>
          <w:szCs w:val="24"/>
        </w:rPr>
      </w:pPr>
      <w:r>
        <w:rPr>
          <w:rFonts w:ascii="宋体" w:hAnsi="宋体"/>
          <w:b/>
          <w:kern w:val="0"/>
          <w:sz w:val="24"/>
          <w:szCs w:val="24"/>
        </w:rPr>
        <w:br w:type="page"/>
      </w:r>
    </w:p>
    <w:p>
      <w:pPr>
        <w:keepNext/>
        <w:keepLines/>
        <w:widowControl/>
        <w:tabs>
          <w:tab w:val="left" w:pos="720"/>
        </w:tabs>
        <w:spacing w:line="360" w:lineRule="auto"/>
        <w:ind w:left="720" w:hanging="720"/>
        <w:jc w:val="center"/>
        <w:outlineLvl w:val="2"/>
        <w:rPr>
          <w:rFonts w:ascii="宋体" w:hAnsi="宋体"/>
          <w:b/>
          <w:kern w:val="0"/>
          <w:sz w:val="24"/>
          <w:szCs w:val="24"/>
          <w:lang w:val="zh-CN"/>
        </w:rPr>
      </w:pPr>
      <w:r>
        <w:rPr>
          <w:rFonts w:hint="eastAsia" w:ascii="宋体" w:hAnsi="宋体"/>
          <w:b/>
          <w:kern w:val="0"/>
          <w:sz w:val="24"/>
          <w:szCs w:val="24"/>
          <w:lang w:val="zh-CN"/>
        </w:rPr>
        <w:t>3、  授权委托书</w:t>
      </w:r>
    </w:p>
    <w:p>
      <w:pPr>
        <w:widowControl/>
        <w:spacing w:line="360" w:lineRule="auto"/>
        <w:ind w:firstLine="4620"/>
        <w:jc w:val="left"/>
        <w:rPr>
          <w:rFonts w:ascii="宋体" w:hAnsi="宋体"/>
          <w:kern w:val="0"/>
          <w:sz w:val="24"/>
          <w:szCs w:val="24"/>
        </w:rPr>
      </w:pPr>
    </w:p>
    <w:p>
      <w:pPr>
        <w:widowControl/>
        <w:spacing w:line="360" w:lineRule="auto"/>
        <w:ind w:firstLine="840"/>
        <w:jc w:val="left"/>
        <w:rPr>
          <w:rFonts w:ascii="宋体" w:hAnsi="宋体"/>
          <w:kern w:val="0"/>
          <w:sz w:val="24"/>
          <w:szCs w:val="24"/>
        </w:rPr>
      </w:pPr>
      <w:r>
        <w:rPr>
          <w:rFonts w:hint="eastAsia" w:ascii="宋体" w:hAnsi="宋体"/>
          <w:kern w:val="0"/>
          <w:sz w:val="24"/>
          <w:szCs w:val="24"/>
        </w:rPr>
        <w:t xml:space="preserve">                                            </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本人</w:t>
      </w:r>
      <w:r>
        <w:rPr>
          <w:rFonts w:hint="eastAsia" w:ascii="宋体" w:hAnsi="宋体"/>
          <w:kern w:val="0"/>
          <w:sz w:val="24"/>
          <w:szCs w:val="24"/>
          <w:u w:val="single"/>
        </w:rPr>
        <w:t xml:space="preserve">          </w:t>
      </w:r>
      <w:r>
        <w:rPr>
          <w:rFonts w:hint="eastAsia" w:ascii="宋体" w:hAnsi="宋体"/>
          <w:kern w:val="0"/>
          <w:sz w:val="24"/>
          <w:szCs w:val="24"/>
        </w:rPr>
        <w:t xml:space="preserve">（姓名）系 </w:t>
      </w:r>
      <w:r>
        <w:rPr>
          <w:rFonts w:hint="eastAsia" w:ascii="宋体" w:hAnsi="宋体"/>
          <w:kern w:val="0"/>
          <w:sz w:val="24"/>
          <w:szCs w:val="24"/>
          <w:u w:val="single"/>
        </w:rPr>
        <w:t xml:space="preserve">           </w:t>
      </w:r>
      <w:r>
        <w:rPr>
          <w:rFonts w:hint="eastAsia" w:ascii="宋体" w:hAnsi="宋体"/>
          <w:kern w:val="0"/>
          <w:sz w:val="24"/>
          <w:szCs w:val="24"/>
        </w:rPr>
        <w:t>（投标人名称）的法定代表人，现委托</w:t>
      </w:r>
      <w:r>
        <w:rPr>
          <w:rFonts w:hint="eastAsia" w:ascii="宋体" w:hAnsi="宋体"/>
          <w:kern w:val="0"/>
          <w:sz w:val="24"/>
          <w:szCs w:val="24"/>
          <w:u w:val="single"/>
        </w:rPr>
        <w:t xml:space="preserve">           </w:t>
      </w:r>
      <w:r>
        <w:rPr>
          <w:rFonts w:hint="eastAsia" w:ascii="宋体" w:hAnsi="宋体"/>
          <w:kern w:val="0"/>
          <w:sz w:val="24"/>
          <w:szCs w:val="24"/>
        </w:rPr>
        <w:t>（姓名）为我方代理人。代理人根据授权，以我方名义签署、澄清、说明、补正、递交、撤回、修改</w:t>
      </w:r>
      <w:r>
        <w:rPr>
          <w:rFonts w:hint="eastAsia" w:ascii="宋体" w:hAnsi="宋体"/>
          <w:kern w:val="0"/>
          <w:sz w:val="24"/>
          <w:szCs w:val="24"/>
          <w:u w:val="single"/>
        </w:rPr>
        <w:t xml:space="preserve">       </w:t>
      </w:r>
      <w:r>
        <w:rPr>
          <w:rFonts w:hint="eastAsia" w:ascii="宋体" w:hAnsi="宋体"/>
          <w:kern w:val="0"/>
          <w:sz w:val="24"/>
          <w:szCs w:val="24"/>
        </w:rPr>
        <w:t xml:space="preserve"> （项目名称）监理投标文件、签订合同和处理有关事宜，其法律后果由我方承担。</w:t>
      </w:r>
    </w:p>
    <w:p>
      <w:pPr>
        <w:widowControl/>
        <w:spacing w:line="360" w:lineRule="auto"/>
        <w:jc w:val="left"/>
        <w:rPr>
          <w:rFonts w:ascii="宋体" w:hAnsi="宋体"/>
          <w:kern w:val="0"/>
          <w:sz w:val="24"/>
          <w:szCs w:val="24"/>
        </w:rPr>
      </w:pPr>
      <w:r>
        <w:rPr>
          <w:rFonts w:hint="eastAsia" w:ascii="宋体" w:hAnsi="宋体"/>
          <w:kern w:val="0"/>
          <w:sz w:val="24"/>
          <w:szCs w:val="24"/>
        </w:rPr>
        <w:t xml:space="preserve">    委托期限：</w:t>
      </w:r>
      <w:r>
        <w:rPr>
          <w:rFonts w:hint="eastAsia" w:ascii="宋体" w:hAnsi="宋体"/>
          <w:kern w:val="0"/>
          <w:sz w:val="24"/>
          <w:szCs w:val="24"/>
          <w:u w:val="single"/>
        </w:rPr>
        <w:t xml:space="preserve">               </w:t>
      </w:r>
      <w:r>
        <w:rPr>
          <w:rFonts w:hint="eastAsia" w:ascii="宋体" w:hAnsi="宋体"/>
          <w:kern w:val="0"/>
          <w:sz w:val="24"/>
          <w:szCs w:val="24"/>
        </w:rPr>
        <w:t>。</w:t>
      </w:r>
    </w:p>
    <w:p>
      <w:pPr>
        <w:widowControl/>
        <w:spacing w:line="360" w:lineRule="auto"/>
        <w:jc w:val="left"/>
        <w:rPr>
          <w:rFonts w:ascii="宋体" w:hAnsi="宋体"/>
          <w:kern w:val="0"/>
          <w:sz w:val="24"/>
          <w:szCs w:val="24"/>
        </w:rPr>
      </w:pPr>
      <w:r>
        <w:rPr>
          <w:rFonts w:hint="eastAsia" w:ascii="宋体" w:hAnsi="宋体"/>
          <w:kern w:val="0"/>
          <w:sz w:val="24"/>
          <w:szCs w:val="24"/>
        </w:rPr>
        <w:t xml:space="preserve">    代理人无转委托权。</w:t>
      </w:r>
    </w:p>
    <w:p>
      <w:pPr>
        <w:widowControl/>
        <w:spacing w:line="360" w:lineRule="auto"/>
        <w:ind w:firstLine="629"/>
        <w:jc w:val="left"/>
        <w:rPr>
          <w:rFonts w:ascii="宋体" w:hAnsi="宋体"/>
          <w:kern w:val="0"/>
          <w:sz w:val="24"/>
          <w:szCs w:val="24"/>
        </w:rPr>
      </w:pPr>
    </w:p>
    <w:p>
      <w:pPr>
        <w:widowControl/>
        <w:spacing w:line="360" w:lineRule="auto"/>
        <w:ind w:firstLine="629"/>
        <w:jc w:val="left"/>
        <w:rPr>
          <w:rFonts w:ascii="宋体" w:hAnsi="宋体"/>
          <w:kern w:val="0"/>
          <w:sz w:val="24"/>
          <w:szCs w:val="24"/>
        </w:rPr>
      </w:pPr>
    </w:p>
    <w:p>
      <w:pPr>
        <w:widowControl/>
        <w:spacing w:line="360" w:lineRule="auto"/>
        <w:ind w:firstLine="3600" w:firstLineChars="1500"/>
        <w:jc w:val="left"/>
        <w:rPr>
          <w:rFonts w:ascii="宋体" w:hAnsi="宋体"/>
          <w:kern w:val="0"/>
          <w:sz w:val="24"/>
          <w:szCs w:val="24"/>
        </w:rPr>
      </w:pPr>
      <w:r>
        <w:rPr>
          <w:rFonts w:hint="eastAsia" w:ascii="宋体" w:hAnsi="宋体"/>
          <w:kern w:val="0"/>
          <w:sz w:val="24"/>
          <w:szCs w:val="24"/>
        </w:rPr>
        <w:t>投标人：</w:t>
      </w:r>
      <w:r>
        <w:rPr>
          <w:rFonts w:hint="eastAsia" w:ascii="宋体" w:hAnsi="宋体"/>
          <w:kern w:val="0"/>
          <w:sz w:val="24"/>
          <w:szCs w:val="24"/>
          <w:u w:val="single"/>
        </w:rPr>
        <w:t xml:space="preserve">                              </w:t>
      </w:r>
      <w:r>
        <w:rPr>
          <w:rFonts w:hint="eastAsia" w:ascii="宋体" w:hAnsi="宋体"/>
          <w:kern w:val="0"/>
          <w:sz w:val="24"/>
          <w:szCs w:val="24"/>
        </w:rPr>
        <w:t>（盖单位章）</w:t>
      </w:r>
    </w:p>
    <w:p>
      <w:pPr>
        <w:widowControl/>
        <w:spacing w:line="360" w:lineRule="auto"/>
        <w:ind w:firstLine="3600" w:firstLineChars="1500"/>
        <w:jc w:val="left"/>
        <w:rPr>
          <w:rFonts w:ascii="宋体" w:hAnsi="宋体"/>
          <w:kern w:val="0"/>
          <w:sz w:val="24"/>
          <w:szCs w:val="24"/>
          <w:u w:val="single"/>
        </w:rPr>
      </w:pPr>
      <w:r>
        <w:rPr>
          <w:rFonts w:hint="eastAsia" w:ascii="宋体" w:hAnsi="宋体"/>
          <w:kern w:val="0"/>
          <w:sz w:val="24"/>
          <w:szCs w:val="24"/>
        </w:rPr>
        <w:t>法定代表人：</w:t>
      </w:r>
      <w:r>
        <w:rPr>
          <w:rFonts w:hint="eastAsia" w:ascii="宋体" w:hAnsi="宋体"/>
          <w:kern w:val="0"/>
          <w:sz w:val="24"/>
          <w:szCs w:val="24"/>
          <w:u w:val="single"/>
        </w:rPr>
        <w:t xml:space="preserve">                              </w:t>
      </w:r>
      <w:r>
        <w:rPr>
          <w:rFonts w:hint="eastAsia" w:ascii="宋体" w:hAnsi="宋体"/>
          <w:kern w:val="0"/>
          <w:sz w:val="24"/>
          <w:szCs w:val="24"/>
        </w:rPr>
        <w:t>（签字）</w:t>
      </w:r>
    </w:p>
    <w:p>
      <w:pPr>
        <w:widowControl/>
        <w:spacing w:line="360" w:lineRule="auto"/>
        <w:ind w:firstLine="3600" w:firstLineChars="1500"/>
        <w:jc w:val="left"/>
        <w:rPr>
          <w:rFonts w:ascii="宋体" w:hAnsi="宋体"/>
          <w:kern w:val="0"/>
          <w:sz w:val="24"/>
          <w:szCs w:val="24"/>
          <w:u w:val="single"/>
        </w:rPr>
      </w:pPr>
      <w:r>
        <w:rPr>
          <w:rFonts w:hint="eastAsia" w:ascii="宋体" w:hAnsi="宋体"/>
          <w:kern w:val="0"/>
          <w:sz w:val="24"/>
          <w:szCs w:val="24"/>
        </w:rPr>
        <w:t>身份证号码：</w:t>
      </w:r>
      <w:r>
        <w:rPr>
          <w:rFonts w:hint="eastAsia" w:ascii="宋体" w:hAnsi="宋体"/>
          <w:kern w:val="0"/>
          <w:sz w:val="24"/>
          <w:szCs w:val="24"/>
          <w:u w:val="single"/>
        </w:rPr>
        <w:t xml:space="preserve">                                     </w:t>
      </w:r>
    </w:p>
    <w:p>
      <w:pPr>
        <w:widowControl/>
        <w:spacing w:line="360" w:lineRule="auto"/>
        <w:ind w:firstLine="629"/>
        <w:jc w:val="center"/>
        <w:rPr>
          <w:rFonts w:ascii="宋体" w:hAnsi="宋体"/>
          <w:kern w:val="0"/>
          <w:sz w:val="24"/>
          <w:szCs w:val="24"/>
        </w:rPr>
      </w:pPr>
      <w:r>
        <w:rPr>
          <w:rFonts w:hint="eastAsia" w:ascii="宋体" w:hAnsi="宋体"/>
          <w:kern w:val="0"/>
          <w:sz w:val="24"/>
          <w:szCs w:val="24"/>
        </w:rPr>
        <w:t xml:space="preserve">                         委托代理人：</w:t>
      </w:r>
      <w:r>
        <w:rPr>
          <w:rFonts w:hint="eastAsia" w:ascii="宋体" w:hAnsi="宋体"/>
          <w:kern w:val="0"/>
          <w:sz w:val="24"/>
          <w:szCs w:val="24"/>
          <w:u w:val="single"/>
        </w:rPr>
        <w:t xml:space="preserve">                              </w:t>
      </w:r>
      <w:r>
        <w:rPr>
          <w:rFonts w:hint="eastAsia" w:ascii="宋体" w:hAnsi="宋体"/>
          <w:kern w:val="0"/>
          <w:sz w:val="24"/>
          <w:szCs w:val="24"/>
        </w:rPr>
        <w:t>（签字）</w:t>
      </w:r>
    </w:p>
    <w:p>
      <w:pPr>
        <w:widowControl/>
        <w:spacing w:line="360" w:lineRule="auto"/>
        <w:jc w:val="left"/>
        <w:rPr>
          <w:rFonts w:ascii="宋体" w:hAnsi="宋体"/>
          <w:kern w:val="0"/>
          <w:sz w:val="24"/>
          <w:szCs w:val="24"/>
          <w:u w:val="single"/>
        </w:rPr>
      </w:pPr>
      <w:r>
        <w:rPr>
          <w:rFonts w:hint="eastAsia" w:ascii="宋体" w:hAnsi="宋体"/>
          <w:kern w:val="0"/>
          <w:sz w:val="24"/>
          <w:szCs w:val="24"/>
        </w:rPr>
        <w:t xml:space="preserve">                              身份证号码：</w:t>
      </w:r>
      <w:r>
        <w:rPr>
          <w:rFonts w:hint="eastAsia" w:ascii="宋体" w:hAnsi="宋体"/>
          <w:kern w:val="0"/>
          <w:sz w:val="24"/>
          <w:szCs w:val="24"/>
          <w:u w:val="single"/>
        </w:rPr>
        <w:t xml:space="preserve">                                     </w:t>
      </w:r>
    </w:p>
    <w:p>
      <w:pPr>
        <w:widowControl/>
        <w:spacing w:line="360" w:lineRule="auto"/>
        <w:ind w:firstLine="629"/>
        <w:jc w:val="center"/>
        <w:rPr>
          <w:rFonts w:ascii="宋体" w:hAnsi="宋体"/>
          <w:kern w:val="0"/>
          <w:sz w:val="24"/>
          <w:szCs w:val="24"/>
        </w:rPr>
      </w:pPr>
      <w:r>
        <w:rPr>
          <w:rFonts w:hint="eastAsia" w:ascii="宋体" w:hAnsi="宋体"/>
          <w:kern w:val="0"/>
          <w:sz w:val="24"/>
          <w:szCs w:val="24"/>
        </w:rPr>
        <w:t xml:space="preserve">     </w:t>
      </w:r>
    </w:p>
    <w:p>
      <w:pPr>
        <w:widowControl/>
        <w:spacing w:line="360" w:lineRule="auto"/>
        <w:ind w:firstLine="629"/>
        <w:jc w:val="center"/>
        <w:rPr>
          <w:rFonts w:ascii="宋体" w:hAnsi="宋体"/>
          <w:kern w:val="0"/>
          <w:sz w:val="24"/>
          <w:szCs w:val="24"/>
          <w:u w:val="single"/>
        </w:rPr>
      </w:pPr>
      <w:r>
        <w:rPr>
          <w:rFonts w:hint="eastAsia" w:ascii="宋体" w:hAnsi="宋体"/>
          <w:kern w:val="0"/>
          <w:sz w:val="24"/>
          <w:szCs w:val="24"/>
        </w:rPr>
        <w:t xml:space="preserve">                                     </w:t>
      </w:r>
      <w:r>
        <w:rPr>
          <w:rFonts w:hint="eastAsia" w:ascii="宋体" w:hAnsi="宋体"/>
          <w:kern w:val="0"/>
          <w:sz w:val="24"/>
          <w:szCs w:val="24"/>
          <w:u w:val="single"/>
        </w:rPr>
        <w:t xml:space="preserve">         </w:t>
      </w:r>
      <w:r>
        <w:rPr>
          <w:rFonts w:hint="eastAsia" w:ascii="宋体" w:hAnsi="宋体"/>
          <w:kern w:val="0"/>
          <w:sz w:val="24"/>
          <w:szCs w:val="24"/>
        </w:rPr>
        <w:t xml:space="preserve"> 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日</w:t>
      </w:r>
    </w:p>
    <w:p>
      <w:pPr>
        <w:widowControl/>
        <w:spacing w:line="360" w:lineRule="auto"/>
        <w:jc w:val="left"/>
        <w:rPr>
          <w:rFonts w:ascii="宋体" w:hAnsi="宋体"/>
          <w:kern w:val="0"/>
          <w:sz w:val="24"/>
          <w:szCs w:val="24"/>
          <w:u w:val="single"/>
        </w:rPr>
      </w:pPr>
    </w:p>
    <w:p>
      <w:pPr>
        <w:widowControl/>
        <w:spacing w:line="360" w:lineRule="auto"/>
        <w:jc w:val="left"/>
        <w:rPr>
          <w:rFonts w:ascii="宋体" w:hAnsi="宋体" w:cs="宋体"/>
          <w:kern w:val="0"/>
          <w:sz w:val="24"/>
          <w:szCs w:val="24"/>
        </w:rPr>
      </w:pPr>
      <w:r>
        <w:rPr>
          <w:rFonts w:hint="eastAsia" w:ascii="宋体" w:hAnsi="宋体" w:cs="宋体"/>
          <w:b/>
          <w:kern w:val="0"/>
          <w:sz w:val="24"/>
          <w:szCs w:val="24"/>
        </w:rPr>
        <w:t>附：法定代表人身份证复印件，若身份证为新版身份证，必须提供正面、背面双面身份证复印件</w:t>
      </w: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pPr>
    </w:p>
    <w:p>
      <w:pPr>
        <w:tabs>
          <w:tab w:val="left" w:pos="6285"/>
        </w:tabs>
        <w:rPr>
          <w:rFonts w:ascii="宋体" w:hAnsi="宋体"/>
          <w:sz w:val="24"/>
          <w:szCs w:val="24"/>
        </w:rPr>
        <w:sectPr>
          <w:headerReference r:id="rId6" w:type="first"/>
          <w:footerReference r:id="rId8" w:type="first"/>
          <w:footerReference r:id="rId7" w:type="default"/>
          <w:pgSz w:w="11907" w:h="16840"/>
          <w:pgMar w:top="1134" w:right="1134" w:bottom="1134" w:left="1134" w:header="794" w:footer="567" w:gutter="284"/>
          <w:cols w:space="720" w:num="1"/>
          <w:formProt w:val="0"/>
          <w:titlePg/>
          <w:docGrid w:linePitch="271" w:charSpace="0"/>
        </w:sectPr>
      </w:pPr>
    </w:p>
    <w:p>
      <w:pPr>
        <w:tabs>
          <w:tab w:val="left" w:pos="6285"/>
        </w:tabs>
        <w:rPr>
          <w:rFonts w:ascii="宋体" w:hAnsi="宋体"/>
          <w:sz w:val="24"/>
          <w:szCs w:val="24"/>
        </w:rPr>
      </w:pPr>
    </w:p>
    <w:p>
      <w:pPr>
        <w:jc w:val="center"/>
        <w:rPr>
          <w:rFonts w:ascii="宋体" w:hAnsi="宋体"/>
          <w:b/>
          <w:bCs/>
          <w:sz w:val="28"/>
          <w:szCs w:val="28"/>
        </w:rPr>
      </w:pPr>
      <w:r>
        <w:rPr>
          <w:rFonts w:hint="eastAsia" w:ascii="宋体" w:hAnsi="宋体"/>
          <w:b/>
          <w:kern w:val="0"/>
          <w:sz w:val="24"/>
          <w:szCs w:val="24"/>
        </w:rPr>
        <w:t>4</w:t>
      </w:r>
      <w:r>
        <w:rPr>
          <w:rFonts w:ascii="宋体" w:hAnsi="宋体"/>
          <w:b/>
          <w:kern w:val="0"/>
          <w:sz w:val="24"/>
          <w:szCs w:val="24"/>
        </w:rPr>
        <w:t>、</w:t>
      </w:r>
      <w:r>
        <w:rPr>
          <w:rFonts w:hint="eastAsia" w:ascii="宋体" w:hAnsi="宋体"/>
          <w:b/>
          <w:kern w:val="0"/>
          <w:sz w:val="24"/>
          <w:szCs w:val="24"/>
        </w:rPr>
        <w:t xml:space="preserve">  </w:t>
      </w:r>
      <w:r>
        <w:rPr>
          <w:rFonts w:hint="eastAsia" w:ascii="宋体" w:hAnsi="宋体"/>
          <w:b/>
          <w:sz w:val="28"/>
          <w:szCs w:val="28"/>
        </w:rPr>
        <w:t>企业监理人员情况一览表</w:t>
      </w:r>
    </w:p>
    <w:p>
      <w:pPr>
        <w:jc w:val="center"/>
        <w:rPr>
          <w:rFonts w:ascii="宋体" w:hAnsi="宋体"/>
          <w:b/>
          <w:bCs/>
          <w:sz w:val="28"/>
          <w:szCs w:val="28"/>
        </w:rPr>
      </w:pPr>
    </w:p>
    <w:p>
      <w:pPr>
        <w:rPr>
          <w:rFonts w:ascii="宋体" w:hAnsi="宋体"/>
          <w:sz w:val="24"/>
        </w:rPr>
      </w:pPr>
      <w:r>
        <w:rPr>
          <w:rFonts w:hint="eastAsia" w:ascii="宋体" w:hAnsi="宋体"/>
          <w:sz w:val="24"/>
        </w:rPr>
        <w:t xml:space="preserve">单位名称：                                                          </w:t>
      </w:r>
      <w:r>
        <w:rPr>
          <w:rFonts w:ascii="宋体" w:hAnsi="宋体"/>
          <w:sz w:val="24"/>
        </w:rPr>
        <w:t xml:space="preserve">               </w:t>
      </w:r>
      <w:r>
        <w:rPr>
          <w:rFonts w:hint="eastAsia" w:ascii="宋体" w:hAnsi="宋体"/>
          <w:sz w:val="24"/>
        </w:rPr>
        <w:t>填报时间：</w:t>
      </w:r>
    </w:p>
    <w:tbl>
      <w:tblPr>
        <w:tblStyle w:val="18"/>
        <w:tblW w:w="0" w:type="auto"/>
        <w:jc w:val="center"/>
        <w:tblLayout w:type="fixed"/>
        <w:tblCellMar>
          <w:top w:w="0" w:type="dxa"/>
          <w:left w:w="0" w:type="dxa"/>
          <w:bottom w:w="0" w:type="dxa"/>
          <w:right w:w="0" w:type="dxa"/>
        </w:tblCellMar>
      </w:tblPr>
      <w:tblGrid>
        <w:gridCol w:w="800"/>
        <w:gridCol w:w="800"/>
        <w:gridCol w:w="800"/>
        <w:gridCol w:w="800"/>
        <w:gridCol w:w="800"/>
        <w:gridCol w:w="800"/>
        <w:gridCol w:w="800"/>
        <w:gridCol w:w="800"/>
        <w:gridCol w:w="1280"/>
        <w:gridCol w:w="2420"/>
        <w:gridCol w:w="2420"/>
        <w:gridCol w:w="1300"/>
        <w:gridCol w:w="800"/>
      </w:tblGrid>
      <w:tr>
        <w:tblPrEx>
          <w:tblCellMar>
            <w:top w:w="0" w:type="dxa"/>
            <w:left w:w="0" w:type="dxa"/>
            <w:bottom w:w="0" w:type="dxa"/>
            <w:right w:w="0" w:type="dxa"/>
          </w:tblCellMar>
        </w:tblPrEx>
        <w:trPr>
          <w:trHeight w:val="570" w:hRule="atLeast"/>
          <w:jc w:val="center"/>
        </w:trPr>
        <w:tc>
          <w:tcPr>
            <w:tcW w:w="8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序号</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姓名</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性别</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年龄</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学历</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专业</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职务</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职称</w:t>
            </w:r>
          </w:p>
        </w:tc>
        <w:tc>
          <w:tcPr>
            <w:tcW w:w="12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执业资格</w:t>
            </w:r>
          </w:p>
        </w:tc>
        <w:tc>
          <w:tcPr>
            <w:tcW w:w="24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证书号及注册单位</w:t>
            </w:r>
          </w:p>
        </w:tc>
        <w:tc>
          <w:tcPr>
            <w:tcW w:w="24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从事监理工作年限</w:t>
            </w:r>
          </w:p>
        </w:tc>
        <w:tc>
          <w:tcPr>
            <w:tcW w:w="13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是否外聘</w:t>
            </w:r>
          </w:p>
        </w:tc>
        <w:tc>
          <w:tcPr>
            <w:tcW w:w="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trHeight w:val="570" w:hRule="atLeast"/>
          <w:jc w:val="center"/>
        </w:trPr>
        <w:tc>
          <w:tcPr>
            <w:tcW w:w="8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28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242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3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bl>
    <w:p>
      <w:pPr>
        <w:rPr>
          <w:rFonts w:ascii="宋体" w:hAnsi="宋体"/>
          <w:b/>
          <w:bCs/>
          <w:sz w:val="28"/>
          <w:szCs w:val="28"/>
        </w:rPr>
      </w:pPr>
    </w:p>
    <w:p>
      <w:pPr>
        <w:spacing w:line="480" w:lineRule="exact"/>
        <w:ind w:right="-82" w:firstLine="4919" w:firstLineChars="1750"/>
        <w:rPr>
          <w:rFonts w:ascii="宋体" w:hAnsi="宋体"/>
          <w:b/>
          <w:sz w:val="28"/>
          <w:szCs w:val="28"/>
        </w:rPr>
      </w:pPr>
      <w:r>
        <w:rPr>
          <w:rFonts w:ascii="宋体" w:hAnsi="宋体"/>
          <w:b/>
          <w:bCs/>
          <w:sz w:val="28"/>
          <w:szCs w:val="28"/>
        </w:rPr>
        <w:br w:type="page"/>
      </w:r>
      <w:bookmarkEnd w:id="252"/>
      <w:bookmarkEnd w:id="253"/>
      <w:bookmarkEnd w:id="254"/>
      <w:bookmarkEnd w:id="255"/>
      <w:bookmarkEnd w:id="256"/>
      <w:r>
        <w:rPr>
          <w:rFonts w:hint="eastAsia" w:ascii="宋体" w:hAnsi="宋体"/>
          <w:b/>
          <w:kern w:val="0"/>
          <w:sz w:val="24"/>
          <w:szCs w:val="24"/>
        </w:rPr>
        <w:t>5</w:t>
      </w:r>
      <w:r>
        <w:rPr>
          <w:rFonts w:ascii="宋体" w:hAnsi="宋体"/>
          <w:b/>
          <w:kern w:val="0"/>
          <w:sz w:val="24"/>
          <w:szCs w:val="24"/>
        </w:rPr>
        <w:t>、</w:t>
      </w:r>
      <w:r>
        <w:rPr>
          <w:rFonts w:hint="eastAsia" w:ascii="宋体" w:hAnsi="宋体"/>
          <w:b/>
          <w:kern w:val="0"/>
          <w:sz w:val="24"/>
          <w:szCs w:val="24"/>
        </w:rPr>
        <w:t xml:space="preserve">  </w:t>
      </w:r>
      <w:r>
        <w:rPr>
          <w:rFonts w:hint="eastAsia" w:ascii="宋体" w:hAnsi="宋体"/>
          <w:b/>
          <w:sz w:val="28"/>
          <w:szCs w:val="28"/>
        </w:rPr>
        <w:t>在监工程一览表</w:t>
      </w:r>
    </w:p>
    <w:p>
      <w:pPr>
        <w:jc w:val="center"/>
        <w:rPr>
          <w:rFonts w:ascii="宋体" w:hAnsi="宋体"/>
          <w:b/>
          <w:bCs/>
          <w:sz w:val="28"/>
          <w:szCs w:val="28"/>
        </w:rPr>
      </w:pPr>
    </w:p>
    <w:p>
      <w:pPr>
        <w:rPr>
          <w:rFonts w:ascii="宋体"/>
          <w:sz w:val="24"/>
          <w:szCs w:val="24"/>
        </w:rPr>
      </w:pPr>
    </w:p>
    <w:p>
      <w:pPr>
        <w:jc w:val="center"/>
        <w:rPr>
          <w:rFonts w:ascii="宋体" w:hAnsi="宋体"/>
          <w:b/>
          <w:sz w:val="28"/>
          <w:szCs w:val="28"/>
        </w:rPr>
      </w:pPr>
    </w:p>
    <w:tbl>
      <w:tblPr>
        <w:tblStyle w:val="18"/>
        <w:tblpPr w:leftFromText="180" w:rightFromText="180" w:vertAnchor="text" w:tblpY="1"/>
        <w:tblOverlap w:val="never"/>
        <w:tblW w:w="0" w:type="auto"/>
        <w:tblInd w:w="0" w:type="dxa"/>
        <w:tblLayout w:type="fixed"/>
        <w:tblCellMar>
          <w:top w:w="0" w:type="dxa"/>
          <w:left w:w="0" w:type="dxa"/>
          <w:bottom w:w="0" w:type="dxa"/>
          <w:right w:w="0" w:type="dxa"/>
        </w:tblCellMar>
      </w:tblPr>
      <w:tblGrid>
        <w:gridCol w:w="363"/>
        <w:gridCol w:w="700"/>
        <w:gridCol w:w="981"/>
        <w:gridCol w:w="789"/>
        <w:gridCol w:w="664"/>
        <w:gridCol w:w="1170"/>
        <w:gridCol w:w="775"/>
        <w:gridCol w:w="605"/>
        <w:gridCol w:w="664"/>
        <w:gridCol w:w="855"/>
        <w:gridCol w:w="855"/>
        <w:gridCol w:w="831"/>
        <w:gridCol w:w="1000"/>
        <w:gridCol w:w="1000"/>
        <w:gridCol w:w="832"/>
        <w:gridCol w:w="832"/>
        <w:gridCol w:w="1004"/>
      </w:tblGrid>
      <w:tr>
        <w:tblPrEx>
          <w:tblCellMar>
            <w:top w:w="0" w:type="dxa"/>
            <w:left w:w="0" w:type="dxa"/>
            <w:bottom w:w="0" w:type="dxa"/>
            <w:right w:w="0" w:type="dxa"/>
          </w:tblCellMar>
        </w:tblPrEx>
        <w:trPr>
          <w:cantSplit/>
          <w:trHeight w:val="448" w:hRule="atLeast"/>
        </w:trPr>
        <w:tc>
          <w:tcPr>
            <w:tcW w:w="363"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序号</w:t>
            </w:r>
          </w:p>
        </w:tc>
        <w:tc>
          <w:tcPr>
            <w:tcW w:w="70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工程项目名称</w:t>
            </w:r>
          </w:p>
        </w:tc>
        <w:tc>
          <w:tcPr>
            <w:tcW w:w="981"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建设单位及联系电话</w:t>
            </w:r>
          </w:p>
        </w:tc>
        <w:tc>
          <w:tcPr>
            <w:tcW w:w="789"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施工承</w:t>
            </w:r>
          </w:p>
          <w:p>
            <w:pPr>
              <w:jc w:val="center"/>
              <w:rPr>
                <w:rFonts w:ascii="宋体" w:hAnsi="宋体"/>
                <w:sz w:val="24"/>
              </w:rPr>
            </w:pPr>
            <w:r>
              <w:rPr>
                <w:rFonts w:hint="eastAsia" w:ascii="宋体" w:hAnsi="宋体"/>
                <w:sz w:val="24"/>
              </w:rPr>
              <w:t>包单位</w:t>
            </w:r>
          </w:p>
        </w:tc>
        <w:tc>
          <w:tcPr>
            <w:tcW w:w="66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w:t>
            </w:r>
          </w:p>
          <w:p>
            <w:pPr>
              <w:jc w:val="center"/>
              <w:rPr>
                <w:rFonts w:ascii="宋体" w:hAnsi="宋体"/>
                <w:sz w:val="24"/>
              </w:rPr>
            </w:pPr>
            <w:r>
              <w:rPr>
                <w:rFonts w:hint="eastAsia" w:ascii="宋体" w:hAnsi="宋体"/>
                <w:sz w:val="24"/>
              </w:rPr>
              <w:t>地址</w:t>
            </w:r>
          </w:p>
        </w:tc>
        <w:tc>
          <w:tcPr>
            <w:tcW w:w="3214" w:type="dxa"/>
            <w:gridSpan w:val="4"/>
            <w:tcBorders>
              <w:top w:val="single" w:color="auto" w:sz="4" w:space="0"/>
              <w:left w:val="nil"/>
              <w:bottom w:val="nil"/>
              <w:right w:val="single" w:color="000000"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工程概况</w:t>
            </w:r>
          </w:p>
        </w:tc>
        <w:tc>
          <w:tcPr>
            <w:tcW w:w="1710" w:type="dxa"/>
            <w:gridSpan w:val="2"/>
            <w:tcBorders>
              <w:top w:val="single" w:color="auto" w:sz="4" w:space="0"/>
              <w:left w:val="nil"/>
              <w:bottom w:val="nil"/>
              <w:right w:val="single" w:color="000000"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计划开竣工日期</w:t>
            </w:r>
          </w:p>
        </w:tc>
        <w:tc>
          <w:tcPr>
            <w:tcW w:w="831"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实际</w:t>
            </w:r>
          </w:p>
          <w:p>
            <w:pPr>
              <w:jc w:val="center"/>
              <w:rPr>
                <w:rFonts w:ascii="宋体" w:hAnsi="宋体"/>
                <w:sz w:val="24"/>
              </w:rPr>
            </w:pPr>
            <w:r>
              <w:rPr>
                <w:rFonts w:hint="eastAsia" w:ascii="宋体" w:hAnsi="宋体"/>
                <w:sz w:val="24"/>
              </w:rPr>
              <w:t>开工</w:t>
            </w:r>
          </w:p>
          <w:p>
            <w:pPr>
              <w:jc w:val="center"/>
              <w:rPr>
                <w:rFonts w:ascii="宋体" w:hAnsi="宋体"/>
                <w:sz w:val="24"/>
              </w:rPr>
            </w:pPr>
            <w:r>
              <w:rPr>
                <w:rFonts w:hint="eastAsia" w:ascii="宋体" w:hAnsi="宋体"/>
                <w:sz w:val="24"/>
              </w:rPr>
              <w:t>日期</w:t>
            </w:r>
          </w:p>
        </w:tc>
        <w:tc>
          <w:tcPr>
            <w:tcW w:w="100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w:t>
            </w:r>
          </w:p>
          <w:p>
            <w:pPr>
              <w:jc w:val="center"/>
              <w:rPr>
                <w:rFonts w:ascii="宋体" w:hAnsi="宋体"/>
                <w:sz w:val="24"/>
              </w:rPr>
            </w:pPr>
            <w:r>
              <w:rPr>
                <w:rFonts w:hint="eastAsia" w:ascii="宋体" w:hAnsi="宋体"/>
                <w:sz w:val="24"/>
              </w:rPr>
              <w:t>形象</w:t>
            </w:r>
          </w:p>
          <w:p>
            <w:pPr>
              <w:jc w:val="center"/>
              <w:rPr>
                <w:rFonts w:ascii="宋体" w:hAnsi="宋体"/>
                <w:sz w:val="24"/>
              </w:rPr>
            </w:pPr>
            <w:r>
              <w:rPr>
                <w:rFonts w:hint="eastAsia" w:ascii="宋体" w:hAnsi="宋体"/>
                <w:sz w:val="24"/>
              </w:rPr>
              <w:t>进度</w:t>
            </w:r>
          </w:p>
        </w:tc>
        <w:tc>
          <w:tcPr>
            <w:tcW w:w="100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总监</w:t>
            </w:r>
          </w:p>
        </w:tc>
        <w:tc>
          <w:tcPr>
            <w:tcW w:w="832"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日前常驻工地人员</w:t>
            </w:r>
          </w:p>
        </w:tc>
        <w:tc>
          <w:tcPr>
            <w:tcW w:w="832"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专业</w:t>
            </w:r>
          </w:p>
        </w:tc>
        <w:tc>
          <w:tcPr>
            <w:tcW w:w="100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本人负责工作内容</w:t>
            </w:r>
          </w:p>
        </w:tc>
      </w:tr>
      <w:tr>
        <w:tblPrEx>
          <w:tblCellMar>
            <w:top w:w="0" w:type="dxa"/>
            <w:left w:w="0" w:type="dxa"/>
            <w:bottom w:w="0" w:type="dxa"/>
            <w:right w:w="0" w:type="dxa"/>
          </w:tblCellMar>
        </w:tblPrEx>
        <w:trPr>
          <w:cantSplit/>
          <w:trHeight w:val="312" w:hRule="atLeast"/>
        </w:trPr>
        <w:tc>
          <w:tcPr>
            <w:tcW w:w="36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规模</w:t>
            </w:r>
          </w:p>
          <w:p>
            <w:pPr>
              <w:jc w:val="center"/>
              <w:rPr>
                <w:rFonts w:ascii="宋体" w:hAnsi="宋体"/>
                <w:sz w:val="24"/>
              </w:rPr>
            </w:pPr>
            <w:r>
              <w:rPr>
                <w:rFonts w:hint="eastAsia" w:ascii="宋体" w:hAnsi="宋体"/>
                <w:sz w:val="24"/>
              </w:rPr>
              <w:t>（平方米）</w:t>
            </w:r>
          </w:p>
        </w:tc>
        <w:tc>
          <w:tcPr>
            <w:tcW w:w="77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投资</w:t>
            </w:r>
          </w:p>
          <w:p>
            <w:pPr>
              <w:jc w:val="center"/>
              <w:rPr>
                <w:rFonts w:ascii="宋体" w:hAnsi="宋体"/>
                <w:sz w:val="24"/>
              </w:rPr>
            </w:pPr>
            <w:r>
              <w:rPr>
                <w:rFonts w:hint="eastAsia" w:ascii="宋体" w:hAnsi="宋体"/>
                <w:sz w:val="24"/>
              </w:rPr>
              <w:t>（万元）</w:t>
            </w:r>
          </w:p>
        </w:tc>
        <w:tc>
          <w:tcPr>
            <w:tcW w:w="60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结构</w:t>
            </w:r>
          </w:p>
          <w:p>
            <w:pPr>
              <w:jc w:val="center"/>
              <w:rPr>
                <w:rFonts w:ascii="宋体" w:hAnsi="宋体"/>
                <w:sz w:val="24"/>
              </w:rPr>
            </w:pPr>
            <w:r>
              <w:rPr>
                <w:rFonts w:hint="eastAsia" w:ascii="宋体" w:hAnsi="宋体"/>
                <w:sz w:val="24"/>
              </w:rPr>
              <w:t>类型</w:t>
            </w:r>
          </w:p>
        </w:tc>
        <w:tc>
          <w:tcPr>
            <w:tcW w:w="66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层数</w:t>
            </w:r>
          </w:p>
        </w:tc>
        <w:tc>
          <w:tcPr>
            <w:tcW w:w="85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开工</w:t>
            </w:r>
          </w:p>
        </w:tc>
        <w:tc>
          <w:tcPr>
            <w:tcW w:w="85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竣工</w:t>
            </w:r>
          </w:p>
        </w:tc>
        <w:tc>
          <w:tcPr>
            <w:tcW w:w="83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32"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32"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r>
      <w:tr>
        <w:tblPrEx>
          <w:tblCellMar>
            <w:top w:w="0" w:type="dxa"/>
            <w:left w:w="0" w:type="dxa"/>
            <w:bottom w:w="0" w:type="dxa"/>
            <w:right w:w="0" w:type="dxa"/>
          </w:tblCellMar>
        </w:tblPrEx>
        <w:trPr>
          <w:cantSplit/>
          <w:trHeight w:val="465" w:hRule="atLeast"/>
        </w:trPr>
        <w:tc>
          <w:tcPr>
            <w:tcW w:w="36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32"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32"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0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r>
      <w:tr>
        <w:tblPrEx>
          <w:tblCellMar>
            <w:top w:w="0" w:type="dxa"/>
            <w:left w:w="0" w:type="dxa"/>
            <w:bottom w:w="0" w:type="dxa"/>
            <w:right w:w="0" w:type="dxa"/>
          </w:tblCellMar>
        </w:tblPrEx>
        <w:trPr>
          <w:cantSplit/>
          <w:trHeight w:val="285" w:hRule="atLeast"/>
        </w:trPr>
        <w:tc>
          <w:tcPr>
            <w:tcW w:w="363"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7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98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789"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17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77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60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3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sz w:val="24"/>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8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89"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7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0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8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89"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7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0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8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89"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7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0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664"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55"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cantSplit/>
          <w:trHeight w:val="285" w:hRule="atLeast"/>
        </w:trPr>
        <w:tc>
          <w:tcPr>
            <w:tcW w:w="363"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8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89"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7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0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66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5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3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0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55" w:hRule="atLeast"/>
        </w:trPr>
        <w:tc>
          <w:tcPr>
            <w:tcW w:w="13920" w:type="dxa"/>
            <w:gridSpan w:val="17"/>
            <w:tcBorders>
              <w:top w:val="single" w:color="auto" w:sz="4" w:space="0"/>
              <w:left w:val="nil"/>
              <w:bottom w:val="nil"/>
              <w:right w:val="nil"/>
            </w:tcBorders>
            <w:tcMar>
              <w:top w:w="15" w:type="dxa"/>
              <w:left w:w="15" w:type="dxa"/>
              <w:bottom w:w="0" w:type="dxa"/>
              <w:right w:w="15" w:type="dxa"/>
            </w:tcMar>
            <w:vAlign w:val="center"/>
          </w:tcPr>
          <w:p>
            <w:pPr>
              <w:rPr>
                <w:rFonts w:ascii="宋体" w:hAnsi="宋体"/>
                <w:sz w:val="24"/>
              </w:rPr>
            </w:pPr>
            <w:r>
              <w:rPr>
                <w:rFonts w:ascii="宋体" w:hAnsi="宋体"/>
              </w:rPr>
              <w:t xml:space="preserve">  </w:t>
            </w:r>
            <w:r>
              <w:rPr>
                <w:rFonts w:hint="eastAsia" w:ascii="宋体" w:hAnsi="宋体"/>
                <w:sz w:val="24"/>
              </w:rPr>
              <w:t>注：投标单位应认真、仔细填表，不得空缺，不如实填写监理人员名单或填写不全的按弄虚作假处理。</w:t>
            </w:r>
          </w:p>
        </w:tc>
      </w:tr>
    </w:tbl>
    <w:p>
      <w:pPr>
        <w:rPr>
          <w:rFonts w:ascii="宋体" w:hAnsi="宋体"/>
          <w:b/>
          <w:bCs/>
          <w:sz w:val="28"/>
          <w:szCs w:val="28"/>
        </w:rPr>
      </w:pPr>
    </w:p>
    <w:p>
      <w:pPr>
        <w:rPr>
          <w:rFonts w:ascii="宋体"/>
          <w:sz w:val="24"/>
          <w:szCs w:val="24"/>
        </w:rPr>
      </w:pPr>
      <w:r>
        <w:rPr>
          <w:rFonts w:ascii="宋体" w:hAnsi="宋体"/>
          <w:b/>
          <w:bCs/>
          <w:sz w:val="28"/>
          <w:szCs w:val="28"/>
        </w:rPr>
        <w:br w:type="page"/>
      </w:r>
    </w:p>
    <w:p>
      <w:pPr>
        <w:jc w:val="center"/>
        <w:rPr>
          <w:rFonts w:ascii="宋体" w:hAnsi="宋体"/>
          <w:b/>
          <w:sz w:val="28"/>
          <w:szCs w:val="28"/>
        </w:rPr>
      </w:pPr>
      <w:r>
        <w:rPr>
          <w:rFonts w:hint="eastAsia" w:ascii="宋体" w:hAnsi="宋体"/>
          <w:b/>
          <w:sz w:val="28"/>
          <w:szCs w:val="28"/>
        </w:rPr>
        <w:t>6、三年来完成类似工程监理一览表</w:t>
      </w:r>
    </w:p>
    <w:p>
      <w:pPr>
        <w:jc w:val="center"/>
        <w:rPr>
          <w:rFonts w:ascii="宋体" w:hAnsi="宋体"/>
          <w:b/>
          <w:sz w:val="28"/>
          <w:szCs w:val="28"/>
        </w:rPr>
      </w:pPr>
    </w:p>
    <w:tbl>
      <w:tblPr>
        <w:tblStyle w:val="18"/>
        <w:tblW w:w="0" w:type="auto"/>
        <w:tblInd w:w="0" w:type="dxa"/>
        <w:tblLayout w:type="fixed"/>
        <w:tblCellMar>
          <w:top w:w="0" w:type="dxa"/>
          <w:left w:w="0" w:type="dxa"/>
          <w:bottom w:w="0" w:type="dxa"/>
          <w:right w:w="0" w:type="dxa"/>
        </w:tblCellMar>
      </w:tblPr>
      <w:tblGrid>
        <w:gridCol w:w="388"/>
        <w:gridCol w:w="952"/>
        <w:gridCol w:w="1175"/>
        <w:gridCol w:w="1141"/>
        <w:gridCol w:w="1400"/>
        <w:gridCol w:w="1086"/>
        <w:gridCol w:w="1086"/>
        <w:gridCol w:w="718"/>
        <w:gridCol w:w="724"/>
        <w:gridCol w:w="871"/>
        <w:gridCol w:w="871"/>
        <w:gridCol w:w="754"/>
        <w:gridCol w:w="919"/>
        <w:gridCol w:w="919"/>
        <w:gridCol w:w="916"/>
      </w:tblGrid>
      <w:tr>
        <w:tblPrEx>
          <w:tblCellMar>
            <w:top w:w="0" w:type="dxa"/>
            <w:left w:w="0" w:type="dxa"/>
            <w:bottom w:w="0" w:type="dxa"/>
            <w:right w:w="0" w:type="dxa"/>
          </w:tblCellMar>
        </w:tblPrEx>
        <w:trPr>
          <w:cantSplit/>
          <w:trHeight w:val="285" w:hRule="atLeast"/>
        </w:trPr>
        <w:tc>
          <w:tcPr>
            <w:tcW w:w="388"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序号</w:t>
            </w:r>
          </w:p>
        </w:tc>
        <w:tc>
          <w:tcPr>
            <w:tcW w:w="952"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项目</w:t>
            </w:r>
          </w:p>
        </w:tc>
        <w:tc>
          <w:tcPr>
            <w:tcW w:w="1175"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建设单位</w:t>
            </w:r>
          </w:p>
        </w:tc>
        <w:tc>
          <w:tcPr>
            <w:tcW w:w="1141"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施工承包</w:t>
            </w:r>
          </w:p>
          <w:p>
            <w:pPr>
              <w:jc w:val="center"/>
              <w:rPr>
                <w:rFonts w:ascii="宋体" w:hAnsi="宋体"/>
                <w:sz w:val="24"/>
              </w:rPr>
            </w:pPr>
            <w:r>
              <w:rPr>
                <w:rFonts w:hint="eastAsia" w:ascii="宋体" w:hAnsi="宋体"/>
                <w:sz w:val="24"/>
              </w:rPr>
              <w:t>单位</w:t>
            </w:r>
          </w:p>
        </w:tc>
        <w:tc>
          <w:tcPr>
            <w:tcW w:w="140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工程地址</w:t>
            </w:r>
          </w:p>
        </w:tc>
        <w:tc>
          <w:tcPr>
            <w:tcW w:w="3614" w:type="dxa"/>
            <w:gridSpan w:val="4"/>
            <w:tcBorders>
              <w:top w:val="single" w:color="auto" w:sz="4" w:space="0"/>
              <w:left w:val="nil"/>
              <w:bottom w:val="nil"/>
              <w:right w:val="single" w:color="000000"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工程概况</w:t>
            </w:r>
          </w:p>
        </w:tc>
        <w:tc>
          <w:tcPr>
            <w:tcW w:w="1742" w:type="dxa"/>
            <w:gridSpan w:val="2"/>
            <w:tcBorders>
              <w:top w:val="single" w:color="auto" w:sz="4" w:space="0"/>
              <w:left w:val="nil"/>
              <w:bottom w:val="nil"/>
              <w:right w:val="single" w:color="000000"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开竣工日期</w:t>
            </w:r>
          </w:p>
        </w:tc>
        <w:tc>
          <w:tcPr>
            <w:tcW w:w="75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质量</w:t>
            </w:r>
          </w:p>
          <w:p>
            <w:pPr>
              <w:jc w:val="center"/>
              <w:rPr>
                <w:rFonts w:ascii="宋体" w:hAnsi="宋体"/>
                <w:sz w:val="24"/>
              </w:rPr>
            </w:pPr>
            <w:r>
              <w:rPr>
                <w:rFonts w:hint="eastAsia" w:ascii="宋体" w:hAnsi="宋体"/>
                <w:sz w:val="24"/>
              </w:rPr>
              <w:t>等级</w:t>
            </w:r>
          </w:p>
          <w:p>
            <w:pPr>
              <w:jc w:val="center"/>
              <w:rPr>
                <w:rFonts w:ascii="宋体" w:hAnsi="宋体"/>
                <w:sz w:val="24"/>
              </w:rPr>
            </w:pPr>
            <w:r>
              <w:rPr>
                <w:rFonts w:hint="eastAsia" w:ascii="宋体" w:hAnsi="宋体"/>
                <w:sz w:val="24"/>
              </w:rPr>
              <w:t>要求</w:t>
            </w:r>
          </w:p>
        </w:tc>
        <w:tc>
          <w:tcPr>
            <w:tcW w:w="2754" w:type="dxa"/>
            <w:gridSpan w:val="3"/>
            <w:tcBorders>
              <w:top w:val="single" w:color="auto" w:sz="4" w:space="0"/>
              <w:left w:val="nil"/>
              <w:bottom w:val="nil"/>
              <w:right w:val="single" w:color="000000"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三大目标控制情况</w:t>
            </w:r>
          </w:p>
        </w:tc>
      </w:tr>
      <w:tr>
        <w:tblPrEx>
          <w:tblCellMar>
            <w:top w:w="0" w:type="dxa"/>
            <w:left w:w="0" w:type="dxa"/>
            <w:bottom w:w="0" w:type="dxa"/>
            <w:right w:w="0" w:type="dxa"/>
          </w:tblCellMar>
        </w:tblPrEx>
        <w:trPr>
          <w:cantSplit/>
          <w:trHeight w:val="312" w:hRule="atLeast"/>
        </w:trPr>
        <w:tc>
          <w:tcPr>
            <w:tcW w:w="388"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52"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4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4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8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规模</w:t>
            </w:r>
          </w:p>
          <w:p>
            <w:pPr>
              <w:jc w:val="center"/>
              <w:rPr>
                <w:rFonts w:ascii="宋体" w:hAnsi="宋体"/>
                <w:sz w:val="24"/>
              </w:rPr>
            </w:pPr>
            <w:r>
              <w:rPr>
                <w:rFonts w:hint="eastAsia" w:ascii="宋体" w:hAnsi="宋体"/>
                <w:sz w:val="24"/>
              </w:rPr>
              <w:t>（平方米）</w:t>
            </w:r>
          </w:p>
        </w:tc>
        <w:tc>
          <w:tcPr>
            <w:tcW w:w="108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投资</w:t>
            </w:r>
          </w:p>
          <w:p>
            <w:pPr>
              <w:jc w:val="center"/>
              <w:rPr>
                <w:rFonts w:ascii="宋体" w:hAnsi="宋体"/>
                <w:sz w:val="24"/>
              </w:rPr>
            </w:pPr>
            <w:r>
              <w:rPr>
                <w:rFonts w:hint="eastAsia" w:ascii="宋体" w:hAnsi="宋体"/>
                <w:sz w:val="24"/>
              </w:rPr>
              <w:t>（万元）</w:t>
            </w:r>
          </w:p>
        </w:tc>
        <w:tc>
          <w:tcPr>
            <w:tcW w:w="718"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结构</w:t>
            </w:r>
          </w:p>
          <w:p>
            <w:pPr>
              <w:jc w:val="center"/>
              <w:rPr>
                <w:rFonts w:ascii="宋体" w:hAnsi="宋体"/>
                <w:sz w:val="24"/>
              </w:rPr>
            </w:pPr>
            <w:r>
              <w:rPr>
                <w:rFonts w:hint="eastAsia" w:ascii="宋体" w:hAnsi="宋体"/>
                <w:sz w:val="24"/>
              </w:rPr>
              <w:t>类型</w:t>
            </w:r>
          </w:p>
        </w:tc>
        <w:tc>
          <w:tcPr>
            <w:tcW w:w="724"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层数</w:t>
            </w:r>
          </w:p>
        </w:tc>
        <w:tc>
          <w:tcPr>
            <w:tcW w:w="871"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开工</w:t>
            </w:r>
          </w:p>
        </w:tc>
        <w:tc>
          <w:tcPr>
            <w:tcW w:w="871"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竣工</w:t>
            </w:r>
          </w:p>
        </w:tc>
        <w:tc>
          <w:tcPr>
            <w:tcW w:w="754" w:type="dxa"/>
            <w:vMerge w:val="continue"/>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rPr>
                <w:rFonts w:ascii="宋体" w:hAnsi="宋体"/>
                <w:sz w:val="24"/>
              </w:rPr>
            </w:pPr>
          </w:p>
        </w:tc>
        <w:tc>
          <w:tcPr>
            <w:tcW w:w="919"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工期</w:t>
            </w:r>
          </w:p>
        </w:tc>
        <w:tc>
          <w:tcPr>
            <w:tcW w:w="919"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质量</w:t>
            </w:r>
          </w:p>
        </w:tc>
        <w:tc>
          <w:tcPr>
            <w:tcW w:w="916"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sz w:val="24"/>
              </w:rPr>
            </w:pPr>
            <w:r>
              <w:rPr>
                <w:rFonts w:hint="eastAsia" w:ascii="宋体" w:hAnsi="宋体"/>
                <w:sz w:val="24"/>
              </w:rPr>
              <w:t>投资</w:t>
            </w:r>
          </w:p>
        </w:tc>
      </w:tr>
      <w:tr>
        <w:tblPrEx>
          <w:tblCellMar>
            <w:top w:w="0" w:type="dxa"/>
            <w:left w:w="0" w:type="dxa"/>
            <w:bottom w:w="0" w:type="dxa"/>
            <w:right w:w="0" w:type="dxa"/>
          </w:tblCellMar>
        </w:tblPrEx>
        <w:trPr>
          <w:cantSplit/>
          <w:trHeight w:val="312" w:hRule="atLeast"/>
        </w:trPr>
        <w:tc>
          <w:tcPr>
            <w:tcW w:w="388"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52"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75"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141"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400"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1086"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1086"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18"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24"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7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871"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754" w:type="dxa"/>
            <w:vMerge w:val="continue"/>
            <w:tcBorders>
              <w:top w:val="nil"/>
              <w:left w:val="single" w:color="auto" w:sz="4" w:space="0"/>
              <w:bottom w:val="single" w:color="000000" w:sz="4" w:space="0"/>
              <w:right w:val="single" w:color="auto" w:sz="4" w:space="0"/>
            </w:tcBorders>
            <w:vAlign w:val="center"/>
          </w:tcPr>
          <w:p>
            <w:pPr>
              <w:rPr>
                <w:rFonts w:ascii="宋体" w:hAnsi="宋体"/>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c>
          <w:tcPr>
            <w:tcW w:w="916"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sz w:val="24"/>
              </w:rPr>
            </w:pP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vMerge w:val="restart"/>
            <w:tcBorders>
              <w:top w:val="nil"/>
              <w:left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p>
            <w:pPr>
              <w:rPr>
                <w:rFonts w:ascii="宋体" w:hAnsi="宋体"/>
                <w:sz w:val="24"/>
              </w:rPr>
            </w:pPr>
            <w:r>
              <w:rPr>
                <w:rFonts w:hint="eastAsia" w:ascii="宋体" w:hAnsi="宋体"/>
              </w:rPr>
              <w:t>　</w:t>
            </w:r>
          </w:p>
        </w:tc>
        <w:tc>
          <w:tcPr>
            <w:tcW w:w="1400" w:type="dxa"/>
            <w:vMerge w:val="restart"/>
            <w:tcBorders>
              <w:top w:val="nil"/>
              <w:left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p>
            <w:pPr>
              <w:rPr>
                <w:rFonts w:ascii="宋体" w:hAnsi="宋体"/>
                <w:sz w:val="24"/>
              </w:rPr>
            </w:pPr>
            <w:r>
              <w:rPr>
                <w:rFonts w:hint="eastAsia" w:ascii="宋体" w:hAnsi="宋体"/>
              </w:rPr>
              <w:t>　</w:t>
            </w:r>
          </w:p>
        </w:tc>
        <w:tc>
          <w:tcPr>
            <w:tcW w:w="1086" w:type="dxa"/>
            <w:vMerge w:val="restart"/>
            <w:tcBorders>
              <w:top w:val="nil"/>
              <w:left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p>
            <w:pPr>
              <w:rPr>
                <w:rFonts w:ascii="宋体" w:hAnsi="宋体"/>
                <w:sz w:val="24"/>
              </w:rPr>
            </w:pPr>
            <w:r>
              <w:rPr>
                <w:rFonts w:hint="eastAsia" w:ascii="宋体" w:hAnsi="宋体"/>
              </w:rPr>
              <w:t>　</w:t>
            </w:r>
          </w:p>
        </w:tc>
        <w:tc>
          <w:tcPr>
            <w:tcW w:w="1086" w:type="dxa"/>
            <w:vMerge w:val="restart"/>
            <w:tcBorders>
              <w:top w:val="nil"/>
              <w:left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p>
            <w:pPr>
              <w:rPr>
                <w:rFonts w:ascii="宋体" w:hAnsi="宋体"/>
                <w:sz w:val="24"/>
              </w:rPr>
            </w:pPr>
            <w:r>
              <w:rPr>
                <w:rFonts w:hint="eastAsia" w:ascii="宋体" w:hAnsi="宋体"/>
              </w:rPr>
              <w:t>　</w:t>
            </w:r>
          </w:p>
        </w:tc>
        <w:tc>
          <w:tcPr>
            <w:tcW w:w="718" w:type="dxa"/>
            <w:vMerge w:val="restart"/>
            <w:tcBorders>
              <w:top w:val="nil"/>
              <w:left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vMerge w:val="continue"/>
            <w:tcBorders>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p>
        </w:tc>
        <w:tc>
          <w:tcPr>
            <w:tcW w:w="1400" w:type="dxa"/>
            <w:vMerge w:val="continue"/>
            <w:tcBorders>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p>
        </w:tc>
        <w:tc>
          <w:tcPr>
            <w:tcW w:w="1086" w:type="dxa"/>
            <w:vMerge w:val="continue"/>
            <w:tcBorders>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p>
        </w:tc>
        <w:tc>
          <w:tcPr>
            <w:tcW w:w="1086" w:type="dxa"/>
            <w:vMerge w:val="continue"/>
            <w:tcBorders>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p>
        </w:tc>
        <w:tc>
          <w:tcPr>
            <w:tcW w:w="718" w:type="dxa"/>
            <w:vMerge w:val="continue"/>
            <w:tcBorders>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nil"/>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r>
        <w:tblPrEx>
          <w:tblCellMar>
            <w:top w:w="0" w:type="dxa"/>
            <w:left w:w="0" w:type="dxa"/>
            <w:bottom w:w="0" w:type="dxa"/>
            <w:right w:w="0" w:type="dxa"/>
          </w:tblCellMar>
        </w:tblPrEx>
        <w:trPr>
          <w:trHeight w:val="285" w:hRule="atLeast"/>
        </w:trPr>
        <w:tc>
          <w:tcPr>
            <w:tcW w:w="38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52"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75"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14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40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108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1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2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871"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754"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9"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c>
          <w:tcPr>
            <w:tcW w:w="916"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宋体" w:hAnsi="宋体"/>
                <w:sz w:val="24"/>
              </w:rPr>
            </w:pPr>
            <w:r>
              <w:rPr>
                <w:rFonts w:hint="eastAsia" w:ascii="宋体" w:hAnsi="宋体"/>
              </w:rPr>
              <w:t>　</w:t>
            </w:r>
          </w:p>
        </w:tc>
      </w:tr>
    </w:tbl>
    <w:p>
      <w:pPr>
        <w:rPr>
          <w:rFonts w:ascii="宋体" w:hAnsi="宋体"/>
        </w:rPr>
      </w:pPr>
    </w:p>
    <w:p>
      <w:pPr>
        <w:rPr>
          <w:rFonts w:ascii="宋体" w:hAnsi="宋体"/>
          <w:szCs w:val="21"/>
        </w:rPr>
      </w:pPr>
      <w:r>
        <w:rPr>
          <w:rFonts w:ascii="宋体" w:hAnsi="宋体"/>
          <w:b/>
          <w:bCs/>
          <w:sz w:val="36"/>
        </w:rPr>
        <w:br w:type="page"/>
      </w:r>
      <w:r>
        <w:rPr>
          <w:rFonts w:hint="eastAsia" w:ascii="宋体" w:hAnsi="宋体"/>
          <w:szCs w:val="21"/>
        </w:rPr>
        <w:t xml:space="preserve"> </w:t>
      </w:r>
    </w:p>
    <w:p>
      <w:pPr>
        <w:ind w:firstLine="420"/>
        <w:jc w:val="center"/>
        <w:rPr>
          <w:rFonts w:ascii="宋体" w:hAnsi="宋体"/>
          <w:b/>
          <w:sz w:val="28"/>
          <w:szCs w:val="28"/>
        </w:rPr>
      </w:pPr>
      <w:r>
        <w:rPr>
          <w:rFonts w:hint="eastAsia" w:ascii="宋体" w:hAnsi="宋体"/>
          <w:b/>
          <w:sz w:val="28"/>
          <w:szCs w:val="28"/>
        </w:rPr>
        <w:t>7、本工程项目监理机构人员情况登记表</w:t>
      </w:r>
    </w:p>
    <w:p>
      <w:pPr>
        <w:ind w:firstLine="420"/>
        <w:jc w:val="center"/>
        <w:rPr>
          <w:rFonts w:ascii="宋体" w:hAnsi="宋体"/>
          <w:b/>
          <w:sz w:val="28"/>
          <w:szCs w:val="28"/>
        </w:rPr>
      </w:pPr>
    </w:p>
    <w:p>
      <w:pPr>
        <w:ind w:firstLine="420"/>
        <w:jc w:val="center"/>
        <w:rPr>
          <w:rFonts w:ascii="宋体" w:hAnsi="宋体"/>
          <w:b/>
          <w:bCs/>
          <w:sz w:val="18"/>
        </w:rPr>
      </w:pPr>
    </w:p>
    <w:tbl>
      <w:tblPr>
        <w:tblStyle w:val="18"/>
        <w:tblpPr w:leftFromText="180" w:rightFromText="180" w:vertAnchor="text" w:horzAnchor="margin"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808"/>
        <w:gridCol w:w="499"/>
        <w:gridCol w:w="666"/>
        <w:gridCol w:w="2000"/>
        <w:gridCol w:w="1002"/>
        <w:gridCol w:w="1168"/>
        <w:gridCol w:w="1002"/>
        <w:gridCol w:w="1168"/>
        <w:gridCol w:w="2167"/>
        <w:gridCol w:w="1168"/>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59" w:type="dxa"/>
            <w:vAlign w:val="center"/>
          </w:tcPr>
          <w:p>
            <w:pPr>
              <w:spacing w:line="280" w:lineRule="exact"/>
              <w:jc w:val="center"/>
              <w:rPr>
                <w:rFonts w:ascii="宋体" w:hAnsi="宋体"/>
                <w:sz w:val="24"/>
              </w:rPr>
            </w:pPr>
            <w:r>
              <w:rPr>
                <w:rFonts w:hint="eastAsia" w:ascii="宋体" w:hAnsi="宋体"/>
                <w:sz w:val="24"/>
              </w:rPr>
              <w:t>序号</w:t>
            </w:r>
          </w:p>
        </w:tc>
        <w:tc>
          <w:tcPr>
            <w:tcW w:w="1808" w:type="dxa"/>
            <w:vAlign w:val="center"/>
          </w:tcPr>
          <w:p>
            <w:pPr>
              <w:spacing w:line="280" w:lineRule="exact"/>
              <w:jc w:val="center"/>
              <w:rPr>
                <w:rFonts w:ascii="宋体" w:hAnsi="宋体"/>
                <w:sz w:val="24"/>
              </w:rPr>
            </w:pPr>
            <w:r>
              <w:rPr>
                <w:rFonts w:hint="eastAsia" w:ascii="宋体" w:hAnsi="宋体"/>
                <w:sz w:val="24"/>
              </w:rPr>
              <w:t>人员姓名</w:t>
            </w:r>
          </w:p>
        </w:tc>
        <w:tc>
          <w:tcPr>
            <w:tcW w:w="499" w:type="dxa"/>
            <w:vAlign w:val="center"/>
          </w:tcPr>
          <w:p>
            <w:pPr>
              <w:spacing w:line="280" w:lineRule="exact"/>
              <w:jc w:val="center"/>
              <w:rPr>
                <w:rFonts w:ascii="宋体" w:hAnsi="宋体"/>
                <w:sz w:val="24"/>
              </w:rPr>
            </w:pPr>
            <w:r>
              <w:rPr>
                <w:rFonts w:hint="eastAsia" w:ascii="宋体" w:hAnsi="宋体"/>
                <w:sz w:val="24"/>
              </w:rPr>
              <w:t>性别</w:t>
            </w:r>
          </w:p>
        </w:tc>
        <w:tc>
          <w:tcPr>
            <w:tcW w:w="666" w:type="dxa"/>
            <w:vAlign w:val="center"/>
          </w:tcPr>
          <w:p>
            <w:pPr>
              <w:spacing w:line="280" w:lineRule="exact"/>
              <w:jc w:val="center"/>
              <w:rPr>
                <w:rFonts w:ascii="宋体" w:hAnsi="宋体"/>
                <w:sz w:val="24"/>
              </w:rPr>
            </w:pPr>
            <w:r>
              <w:rPr>
                <w:rFonts w:hint="eastAsia" w:ascii="宋体" w:hAnsi="宋体"/>
                <w:sz w:val="24"/>
              </w:rPr>
              <w:t>年龄</w:t>
            </w:r>
          </w:p>
        </w:tc>
        <w:tc>
          <w:tcPr>
            <w:tcW w:w="2000" w:type="dxa"/>
            <w:vAlign w:val="center"/>
          </w:tcPr>
          <w:p>
            <w:pPr>
              <w:spacing w:line="280" w:lineRule="exact"/>
              <w:jc w:val="center"/>
              <w:rPr>
                <w:rFonts w:ascii="宋体" w:hAnsi="宋体"/>
                <w:sz w:val="24"/>
              </w:rPr>
            </w:pPr>
            <w:r>
              <w:rPr>
                <w:rFonts w:hint="eastAsia" w:ascii="宋体" w:hAnsi="宋体"/>
                <w:sz w:val="24"/>
              </w:rPr>
              <w:t>注册监理师或</w:t>
            </w:r>
          </w:p>
          <w:p>
            <w:pPr>
              <w:spacing w:line="280" w:lineRule="exact"/>
              <w:jc w:val="center"/>
              <w:rPr>
                <w:rFonts w:ascii="宋体" w:hAnsi="宋体"/>
                <w:sz w:val="24"/>
              </w:rPr>
            </w:pPr>
            <w:r>
              <w:rPr>
                <w:rFonts w:hint="eastAsia" w:ascii="宋体" w:hAnsi="宋体"/>
                <w:sz w:val="24"/>
              </w:rPr>
              <w:t>监理上岗证号</w:t>
            </w:r>
          </w:p>
        </w:tc>
        <w:tc>
          <w:tcPr>
            <w:tcW w:w="1002" w:type="dxa"/>
            <w:vAlign w:val="center"/>
          </w:tcPr>
          <w:p>
            <w:pPr>
              <w:spacing w:line="280" w:lineRule="exact"/>
              <w:jc w:val="center"/>
              <w:rPr>
                <w:rFonts w:ascii="宋体" w:hAnsi="宋体"/>
                <w:sz w:val="24"/>
              </w:rPr>
            </w:pPr>
            <w:r>
              <w:rPr>
                <w:rFonts w:hint="eastAsia" w:ascii="宋体" w:hAnsi="宋体"/>
                <w:sz w:val="24"/>
              </w:rPr>
              <w:t>职务</w:t>
            </w:r>
          </w:p>
        </w:tc>
        <w:tc>
          <w:tcPr>
            <w:tcW w:w="1168" w:type="dxa"/>
            <w:vAlign w:val="center"/>
          </w:tcPr>
          <w:p>
            <w:pPr>
              <w:spacing w:line="280" w:lineRule="exact"/>
              <w:jc w:val="center"/>
              <w:rPr>
                <w:rFonts w:ascii="宋体" w:hAnsi="宋体"/>
                <w:sz w:val="24"/>
              </w:rPr>
            </w:pPr>
            <w:r>
              <w:rPr>
                <w:rFonts w:hint="eastAsia" w:ascii="宋体" w:hAnsi="宋体"/>
                <w:sz w:val="24"/>
              </w:rPr>
              <w:t>职称</w:t>
            </w:r>
          </w:p>
        </w:tc>
        <w:tc>
          <w:tcPr>
            <w:tcW w:w="1002" w:type="dxa"/>
            <w:vAlign w:val="center"/>
          </w:tcPr>
          <w:p>
            <w:pPr>
              <w:spacing w:line="280" w:lineRule="exact"/>
              <w:jc w:val="center"/>
              <w:rPr>
                <w:rFonts w:ascii="宋体" w:hAnsi="宋体"/>
                <w:sz w:val="24"/>
              </w:rPr>
            </w:pPr>
            <w:r>
              <w:rPr>
                <w:rFonts w:hint="eastAsia" w:ascii="宋体" w:hAnsi="宋体"/>
                <w:sz w:val="24"/>
              </w:rPr>
              <w:t>学历</w:t>
            </w:r>
          </w:p>
        </w:tc>
        <w:tc>
          <w:tcPr>
            <w:tcW w:w="1168" w:type="dxa"/>
            <w:vAlign w:val="center"/>
          </w:tcPr>
          <w:p>
            <w:pPr>
              <w:spacing w:line="280" w:lineRule="exact"/>
              <w:jc w:val="center"/>
              <w:rPr>
                <w:rFonts w:ascii="宋体" w:hAnsi="宋体"/>
                <w:sz w:val="24"/>
              </w:rPr>
            </w:pPr>
            <w:r>
              <w:rPr>
                <w:rFonts w:hint="eastAsia" w:ascii="宋体" w:hAnsi="宋体"/>
                <w:sz w:val="24"/>
              </w:rPr>
              <w:t>专业</w:t>
            </w:r>
          </w:p>
        </w:tc>
        <w:tc>
          <w:tcPr>
            <w:tcW w:w="2167" w:type="dxa"/>
            <w:vAlign w:val="center"/>
          </w:tcPr>
          <w:p>
            <w:pPr>
              <w:spacing w:line="280" w:lineRule="exact"/>
              <w:ind w:left="720" w:hanging="720" w:hangingChars="300"/>
              <w:jc w:val="center"/>
              <w:rPr>
                <w:rFonts w:ascii="宋体" w:hAnsi="宋体"/>
                <w:sz w:val="24"/>
              </w:rPr>
            </w:pPr>
            <w:r>
              <w:rPr>
                <w:rFonts w:hint="eastAsia" w:ascii="宋体" w:hAnsi="宋体"/>
                <w:sz w:val="24"/>
              </w:rPr>
              <w:t>本人在该工程中</w:t>
            </w:r>
          </w:p>
          <w:p>
            <w:pPr>
              <w:spacing w:line="280" w:lineRule="exact"/>
              <w:ind w:left="720" w:hanging="720" w:hangingChars="300"/>
              <w:jc w:val="center"/>
              <w:rPr>
                <w:rFonts w:ascii="宋体" w:hAnsi="宋体"/>
                <w:sz w:val="24"/>
              </w:rPr>
            </w:pPr>
            <w:r>
              <w:rPr>
                <w:rFonts w:hint="eastAsia" w:ascii="宋体" w:hAnsi="宋体"/>
                <w:sz w:val="24"/>
              </w:rPr>
              <w:t>负责工作内容</w:t>
            </w:r>
          </w:p>
        </w:tc>
        <w:tc>
          <w:tcPr>
            <w:tcW w:w="1168" w:type="dxa"/>
            <w:vAlign w:val="center"/>
          </w:tcPr>
          <w:p>
            <w:pPr>
              <w:spacing w:line="280" w:lineRule="exact"/>
              <w:jc w:val="center"/>
              <w:rPr>
                <w:rFonts w:ascii="宋体" w:hAnsi="宋体"/>
                <w:sz w:val="24"/>
              </w:rPr>
            </w:pPr>
            <w:r>
              <w:rPr>
                <w:rFonts w:hint="eastAsia" w:ascii="宋体" w:hAnsi="宋体"/>
                <w:sz w:val="24"/>
              </w:rPr>
              <w:t>常驻或</w:t>
            </w:r>
          </w:p>
          <w:p>
            <w:pPr>
              <w:spacing w:line="280" w:lineRule="exact"/>
              <w:jc w:val="center"/>
              <w:rPr>
                <w:rFonts w:ascii="宋体" w:hAnsi="宋体"/>
                <w:sz w:val="24"/>
              </w:rPr>
            </w:pPr>
            <w:r>
              <w:rPr>
                <w:rFonts w:hint="eastAsia" w:ascii="宋体" w:hAnsi="宋体"/>
                <w:sz w:val="24"/>
              </w:rPr>
              <w:t>不常驻</w:t>
            </w:r>
          </w:p>
        </w:tc>
        <w:tc>
          <w:tcPr>
            <w:tcW w:w="999" w:type="dxa"/>
            <w:vAlign w:val="center"/>
          </w:tcPr>
          <w:p>
            <w:pPr>
              <w:spacing w:line="280" w:lineRule="exact"/>
              <w:jc w:val="center"/>
              <w:rPr>
                <w:rFonts w:ascii="宋体" w:hAnsi="宋体"/>
                <w:sz w:val="24"/>
              </w:rPr>
            </w:pPr>
            <w:r>
              <w:rPr>
                <w:rFonts w:hint="eastAsia" w:ascii="宋体" w:hAnsi="宋体"/>
                <w:sz w:val="24"/>
              </w:rPr>
              <w:t>常驻起止时间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ind w:firstLine="280" w:firstLineChars="100"/>
              <w:rPr>
                <w:rFonts w:ascii="宋体" w:hAnsi="宋体"/>
                <w:sz w:val="28"/>
              </w:rPr>
            </w:pP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ind w:firstLine="280" w:firstLineChars="100"/>
              <w:rPr>
                <w:rFonts w:ascii="宋体" w:hAnsi="宋体"/>
                <w:sz w:val="28"/>
              </w:rPr>
            </w:pPr>
            <w:r>
              <w:rPr>
                <w:rFonts w:hint="eastAsia" w:ascii="宋体" w:hAnsi="宋体"/>
                <w:sz w:val="28"/>
              </w:rPr>
              <w:t>～</w:t>
            </w:r>
            <w:r>
              <w:rPr>
                <w:rFonts w:ascii="宋体" w:hAns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9" w:type="dxa"/>
          </w:tcPr>
          <w:p>
            <w:pPr>
              <w:spacing w:line="400" w:lineRule="exact"/>
              <w:rPr>
                <w:rFonts w:ascii="宋体" w:hAnsi="宋体"/>
                <w:sz w:val="28"/>
              </w:rPr>
            </w:pPr>
          </w:p>
        </w:tc>
        <w:tc>
          <w:tcPr>
            <w:tcW w:w="1808" w:type="dxa"/>
          </w:tcPr>
          <w:p>
            <w:pPr>
              <w:spacing w:line="400" w:lineRule="exact"/>
              <w:rPr>
                <w:rFonts w:ascii="宋体" w:hAnsi="宋体"/>
                <w:sz w:val="28"/>
              </w:rPr>
            </w:pPr>
          </w:p>
        </w:tc>
        <w:tc>
          <w:tcPr>
            <w:tcW w:w="499" w:type="dxa"/>
          </w:tcPr>
          <w:p>
            <w:pPr>
              <w:spacing w:line="400" w:lineRule="exact"/>
              <w:rPr>
                <w:rFonts w:ascii="宋体" w:hAnsi="宋体"/>
                <w:sz w:val="28"/>
              </w:rPr>
            </w:pPr>
          </w:p>
        </w:tc>
        <w:tc>
          <w:tcPr>
            <w:tcW w:w="666" w:type="dxa"/>
          </w:tcPr>
          <w:p>
            <w:pPr>
              <w:spacing w:line="400" w:lineRule="exact"/>
              <w:rPr>
                <w:rFonts w:ascii="宋体" w:hAnsi="宋体"/>
                <w:sz w:val="28"/>
              </w:rPr>
            </w:pPr>
          </w:p>
        </w:tc>
        <w:tc>
          <w:tcPr>
            <w:tcW w:w="2000"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1002"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2167" w:type="dxa"/>
          </w:tcPr>
          <w:p>
            <w:pPr>
              <w:spacing w:line="400" w:lineRule="exact"/>
              <w:rPr>
                <w:rFonts w:ascii="宋体" w:hAnsi="宋体"/>
                <w:sz w:val="28"/>
              </w:rPr>
            </w:pPr>
          </w:p>
        </w:tc>
        <w:tc>
          <w:tcPr>
            <w:tcW w:w="1168" w:type="dxa"/>
          </w:tcPr>
          <w:p>
            <w:pPr>
              <w:spacing w:line="400" w:lineRule="exact"/>
              <w:rPr>
                <w:rFonts w:ascii="宋体" w:hAnsi="宋体"/>
                <w:sz w:val="28"/>
              </w:rPr>
            </w:pPr>
          </w:p>
        </w:tc>
        <w:tc>
          <w:tcPr>
            <w:tcW w:w="999" w:type="dxa"/>
          </w:tcPr>
          <w:p>
            <w:pPr>
              <w:spacing w:line="400" w:lineRule="exact"/>
              <w:rPr>
                <w:rFonts w:ascii="宋体" w:hAnsi="宋体"/>
                <w:sz w:val="28"/>
              </w:rPr>
            </w:pPr>
            <w:r>
              <w:rPr>
                <w:rFonts w:ascii="宋体" w:hAnsi="宋体"/>
                <w:sz w:val="28"/>
              </w:rPr>
              <w:t xml:space="preserve">  </w:t>
            </w:r>
            <w:r>
              <w:rPr>
                <w:rFonts w:hint="eastAsia" w:ascii="宋体" w:hAnsi="宋体"/>
                <w:sz w:val="28"/>
              </w:rPr>
              <w:t>～</w:t>
            </w:r>
          </w:p>
        </w:tc>
      </w:tr>
    </w:tbl>
    <w:p>
      <w:pPr>
        <w:rPr>
          <w:rFonts w:ascii="宋体" w:hAnsi="宋体"/>
          <w:sz w:val="24"/>
        </w:rPr>
      </w:pPr>
      <w:r>
        <w:rPr>
          <w:rFonts w:hint="eastAsia" w:ascii="宋体" w:hAnsi="宋体"/>
          <w:sz w:val="24"/>
        </w:rPr>
        <w:t>工程名称：            建设单位：                  建设地点：                      建设规模：</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注：①人员姓名填写顺序为：总监、常驻人员、不常驻人员。</w:t>
      </w:r>
    </w:p>
    <w:p>
      <w:pPr>
        <w:spacing w:line="400" w:lineRule="exact"/>
        <w:ind w:firstLine="480" w:firstLineChars="200"/>
        <w:rPr>
          <w:rFonts w:ascii="宋体" w:hAnsi="宋体"/>
          <w:sz w:val="24"/>
        </w:rPr>
      </w:pPr>
      <w:r>
        <w:rPr>
          <w:rFonts w:hint="eastAsia" w:ascii="宋体" w:hAnsi="宋体"/>
          <w:sz w:val="24"/>
        </w:rPr>
        <w:t>②“常驻”或“不常驻”栏目的填写。是常驻的填写“常驻”，不常驻的填写“不常驻”。</w:t>
      </w:r>
      <w:r>
        <w:rPr>
          <w:rFonts w:ascii="宋体" w:hAnsi="宋体"/>
          <w:sz w:val="24"/>
        </w:rPr>
        <w:br w:type="page"/>
      </w:r>
    </w:p>
    <w:p>
      <w:pPr>
        <w:jc w:val="center"/>
        <w:rPr>
          <w:rFonts w:ascii="宋体" w:hAnsi="宋体"/>
          <w:b/>
          <w:sz w:val="28"/>
          <w:szCs w:val="28"/>
        </w:rPr>
      </w:pPr>
      <w:r>
        <w:rPr>
          <w:rFonts w:hint="eastAsia" w:ascii="宋体" w:hAnsi="宋体"/>
          <w:b/>
          <w:sz w:val="28"/>
          <w:szCs w:val="28"/>
        </w:rPr>
        <w:t>8、投入本工程的检测设备、仪器一览表</w:t>
      </w:r>
    </w:p>
    <w:p>
      <w:pPr>
        <w:jc w:val="center"/>
        <w:rPr>
          <w:rFonts w:ascii="宋体" w:hAnsi="宋体"/>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547"/>
        <w:gridCol w:w="1247"/>
        <w:gridCol w:w="705"/>
        <w:gridCol w:w="1156"/>
        <w:gridCol w:w="1086"/>
        <w:gridCol w:w="1086"/>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vAlign w:val="center"/>
          </w:tcPr>
          <w:p>
            <w:pPr>
              <w:jc w:val="center"/>
              <w:rPr>
                <w:rFonts w:ascii="宋体" w:hAnsi="宋体"/>
                <w:sz w:val="24"/>
              </w:rPr>
            </w:pPr>
            <w:r>
              <w:rPr>
                <w:rFonts w:hint="eastAsia" w:ascii="宋体" w:hAnsi="宋体"/>
                <w:sz w:val="24"/>
              </w:rPr>
              <w:t>序号</w:t>
            </w:r>
          </w:p>
        </w:tc>
        <w:tc>
          <w:tcPr>
            <w:tcW w:w="1547" w:type="dxa"/>
            <w:vAlign w:val="center"/>
          </w:tcPr>
          <w:p>
            <w:pPr>
              <w:jc w:val="center"/>
              <w:rPr>
                <w:rFonts w:ascii="宋体" w:hAnsi="宋体"/>
                <w:sz w:val="24"/>
              </w:rPr>
            </w:pPr>
            <w:r>
              <w:rPr>
                <w:rFonts w:hint="eastAsia" w:ascii="宋体" w:hAnsi="宋体"/>
                <w:sz w:val="24"/>
              </w:rPr>
              <w:t>名 称</w:t>
            </w:r>
          </w:p>
        </w:tc>
        <w:tc>
          <w:tcPr>
            <w:tcW w:w="1247" w:type="dxa"/>
            <w:vAlign w:val="center"/>
          </w:tcPr>
          <w:p>
            <w:pPr>
              <w:jc w:val="center"/>
              <w:rPr>
                <w:rFonts w:ascii="宋体" w:hAnsi="宋体"/>
                <w:sz w:val="24"/>
              </w:rPr>
            </w:pPr>
            <w:r>
              <w:rPr>
                <w:rFonts w:hint="eastAsia" w:ascii="宋体" w:hAnsi="宋体"/>
                <w:sz w:val="24"/>
              </w:rPr>
              <w:t>规格、型号</w:t>
            </w:r>
          </w:p>
        </w:tc>
        <w:tc>
          <w:tcPr>
            <w:tcW w:w="705" w:type="dxa"/>
            <w:vAlign w:val="center"/>
          </w:tcPr>
          <w:p>
            <w:pPr>
              <w:jc w:val="center"/>
              <w:rPr>
                <w:rFonts w:ascii="宋体" w:hAnsi="宋体"/>
                <w:sz w:val="24"/>
              </w:rPr>
            </w:pPr>
            <w:r>
              <w:rPr>
                <w:rFonts w:hint="eastAsia" w:ascii="宋体" w:hAnsi="宋体"/>
                <w:sz w:val="24"/>
              </w:rPr>
              <w:t>数 量</w:t>
            </w:r>
          </w:p>
        </w:tc>
        <w:tc>
          <w:tcPr>
            <w:tcW w:w="1156" w:type="dxa"/>
            <w:vAlign w:val="center"/>
          </w:tcPr>
          <w:p>
            <w:pPr>
              <w:jc w:val="center"/>
              <w:rPr>
                <w:rFonts w:ascii="宋体" w:hAnsi="宋体"/>
                <w:sz w:val="24"/>
              </w:rPr>
            </w:pPr>
            <w:r>
              <w:rPr>
                <w:rFonts w:hint="eastAsia" w:ascii="宋体" w:hAnsi="宋体"/>
                <w:sz w:val="24"/>
              </w:rPr>
              <w:t>产 地</w:t>
            </w:r>
          </w:p>
        </w:tc>
        <w:tc>
          <w:tcPr>
            <w:tcW w:w="1086" w:type="dxa"/>
            <w:vAlign w:val="center"/>
          </w:tcPr>
          <w:p>
            <w:pPr>
              <w:jc w:val="center"/>
              <w:rPr>
                <w:rFonts w:ascii="宋体" w:hAnsi="宋体"/>
                <w:sz w:val="24"/>
              </w:rPr>
            </w:pPr>
            <w:r>
              <w:rPr>
                <w:rFonts w:hint="eastAsia" w:ascii="宋体" w:hAnsi="宋体"/>
                <w:sz w:val="24"/>
              </w:rPr>
              <w:t>用 途</w:t>
            </w:r>
          </w:p>
        </w:tc>
        <w:tc>
          <w:tcPr>
            <w:tcW w:w="1086" w:type="dxa"/>
            <w:vAlign w:val="center"/>
          </w:tcPr>
          <w:p>
            <w:pPr>
              <w:jc w:val="center"/>
              <w:rPr>
                <w:rFonts w:ascii="宋体" w:hAnsi="宋体"/>
                <w:sz w:val="24"/>
              </w:rPr>
            </w:pPr>
            <w:r>
              <w:rPr>
                <w:rFonts w:hint="eastAsia" w:ascii="宋体" w:hAnsi="宋体"/>
                <w:sz w:val="24"/>
              </w:rPr>
              <w:t>检验时间</w:t>
            </w:r>
          </w:p>
        </w:tc>
        <w:tc>
          <w:tcPr>
            <w:tcW w:w="1242" w:type="dxa"/>
            <w:vAlign w:val="center"/>
          </w:tcPr>
          <w:p>
            <w:pPr>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dxa"/>
          </w:tcPr>
          <w:p>
            <w:pPr>
              <w:rPr>
                <w:rFonts w:ascii="宋体" w:hAnsi="宋体"/>
                <w:sz w:val="24"/>
              </w:rPr>
            </w:pPr>
          </w:p>
        </w:tc>
        <w:tc>
          <w:tcPr>
            <w:tcW w:w="1547" w:type="dxa"/>
          </w:tcPr>
          <w:p>
            <w:pPr>
              <w:rPr>
                <w:rFonts w:ascii="宋体" w:hAnsi="宋体"/>
                <w:sz w:val="24"/>
              </w:rPr>
            </w:pPr>
          </w:p>
        </w:tc>
        <w:tc>
          <w:tcPr>
            <w:tcW w:w="1247" w:type="dxa"/>
          </w:tcPr>
          <w:p>
            <w:pPr>
              <w:rPr>
                <w:rFonts w:ascii="宋体" w:hAnsi="宋体"/>
                <w:sz w:val="24"/>
              </w:rPr>
            </w:pPr>
          </w:p>
        </w:tc>
        <w:tc>
          <w:tcPr>
            <w:tcW w:w="705" w:type="dxa"/>
          </w:tcPr>
          <w:p>
            <w:pPr>
              <w:rPr>
                <w:rFonts w:ascii="宋体" w:hAnsi="宋体"/>
                <w:sz w:val="24"/>
              </w:rPr>
            </w:pPr>
          </w:p>
        </w:tc>
        <w:tc>
          <w:tcPr>
            <w:tcW w:w="1156" w:type="dxa"/>
          </w:tcPr>
          <w:p>
            <w:pPr>
              <w:rPr>
                <w:rFonts w:ascii="宋体" w:hAnsi="宋体"/>
                <w:sz w:val="24"/>
              </w:rPr>
            </w:pPr>
          </w:p>
        </w:tc>
        <w:tc>
          <w:tcPr>
            <w:tcW w:w="1086" w:type="dxa"/>
          </w:tcPr>
          <w:p>
            <w:pPr>
              <w:rPr>
                <w:rFonts w:ascii="宋体" w:hAnsi="宋体"/>
                <w:sz w:val="24"/>
              </w:rPr>
            </w:pPr>
          </w:p>
        </w:tc>
        <w:tc>
          <w:tcPr>
            <w:tcW w:w="1086" w:type="dxa"/>
          </w:tcPr>
          <w:p>
            <w:pPr>
              <w:rPr>
                <w:rFonts w:ascii="宋体" w:hAnsi="宋体"/>
                <w:sz w:val="24"/>
              </w:rPr>
            </w:pPr>
          </w:p>
        </w:tc>
        <w:tc>
          <w:tcPr>
            <w:tcW w:w="1242" w:type="dxa"/>
          </w:tcPr>
          <w:p>
            <w:pPr>
              <w:rPr>
                <w:rFonts w:ascii="宋体" w:hAnsi="宋体"/>
                <w:sz w:val="24"/>
              </w:rPr>
            </w:pPr>
          </w:p>
        </w:tc>
      </w:tr>
    </w:tbl>
    <w:p>
      <w:pPr>
        <w:rPr>
          <w:rFonts w:ascii="宋体" w:hAnsi="宋体"/>
          <w:sz w:val="24"/>
        </w:rPr>
      </w:pPr>
    </w:p>
    <w:p>
      <w:pPr>
        <w:rPr>
          <w:rFonts w:ascii="宋体" w:hAnsi="宋体"/>
          <w:sz w:val="28"/>
        </w:rPr>
      </w:pPr>
      <w:r>
        <w:rPr>
          <w:rFonts w:hint="eastAsia" w:ascii="宋体" w:hAnsi="宋体"/>
          <w:sz w:val="24"/>
        </w:rPr>
        <w:t>备注：注明“已有、新购、租赁”等形式。</w:t>
      </w:r>
    </w:p>
    <w:p>
      <w:pPr>
        <w:rPr>
          <w:rFonts w:ascii="宋体"/>
          <w:sz w:val="24"/>
          <w:szCs w:val="24"/>
        </w:rPr>
        <w:sectPr>
          <w:headerReference r:id="rId9" w:type="default"/>
          <w:footerReference r:id="rId10" w:type="default"/>
          <w:footerReference r:id="rId11" w:type="even"/>
          <w:pgSz w:w="16840" w:h="11907" w:orient="landscape"/>
          <w:pgMar w:top="1134" w:right="1134" w:bottom="1134" w:left="1134" w:header="794" w:footer="567" w:gutter="284"/>
          <w:cols w:space="720" w:num="1"/>
          <w:formProt w:val="0"/>
          <w:titlePg/>
          <w:docGrid w:linePitch="286" w:charSpace="0"/>
        </w:sectPr>
      </w:pPr>
    </w:p>
    <w:p>
      <w:pPr>
        <w:spacing w:line="360" w:lineRule="auto"/>
        <w:rPr>
          <w:rFonts w:ascii="宋体" w:hAnsi="宋体"/>
          <w:b/>
          <w:bCs/>
          <w:sz w:val="24"/>
          <w:szCs w:val="24"/>
          <w:shd w:val="clear" w:color="auto" w:fill="FFFFFF"/>
        </w:rPr>
      </w:pPr>
    </w:p>
    <w:p>
      <w:pPr>
        <w:spacing w:line="360" w:lineRule="auto"/>
        <w:rPr>
          <w:rFonts w:ascii="宋体" w:hAnsi="宋体"/>
          <w:b/>
          <w:bCs/>
          <w:sz w:val="24"/>
          <w:szCs w:val="24"/>
          <w:shd w:val="clear" w:color="auto" w:fill="FFFFFF"/>
        </w:rPr>
      </w:pPr>
    </w:p>
    <w:p>
      <w:pPr>
        <w:keepNext/>
        <w:keepLines/>
        <w:spacing w:before="480" w:after="480" w:line="480" w:lineRule="exact"/>
        <w:ind w:right="-82"/>
        <w:jc w:val="center"/>
        <w:outlineLvl w:val="0"/>
        <w:rPr>
          <w:rFonts w:ascii="宋体"/>
          <w:kern w:val="44"/>
          <w:sz w:val="44"/>
          <w:szCs w:val="44"/>
        </w:rPr>
      </w:pPr>
    </w:p>
    <w:p>
      <w:pPr>
        <w:keepNext/>
        <w:keepLines/>
        <w:spacing w:before="480" w:after="480" w:line="480" w:lineRule="exact"/>
        <w:ind w:right="-82"/>
        <w:jc w:val="center"/>
        <w:outlineLvl w:val="0"/>
        <w:rPr>
          <w:rFonts w:ascii="宋体"/>
          <w:kern w:val="44"/>
          <w:sz w:val="44"/>
          <w:szCs w:val="44"/>
        </w:rPr>
      </w:pPr>
    </w:p>
    <w:p>
      <w:pPr>
        <w:keepNext/>
        <w:keepLines/>
        <w:spacing w:before="480" w:after="480" w:line="480" w:lineRule="exact"/>
        <w:ind w:right="-82"/>
        <w:jc w:val="center"/>
        <w:outlineLvl w:val="0"/>
        <w:rPr>
          <w:rFonts w:ascii="宋体"/>
          <w:kern w:val="44"/>
          <w:sz w:val="44"/>
          <w:szCs w:val="44"/>
        </w:rPr>
      </w:pPr>
    </w:p>
    <w:p>
      <w:pPr>
        <w:keepNext/>
        <w:keepLines/>
        <w:spacing w:before="480" w:after="480" w:line="480" w:lineRule="exact"/>
        <w:ind w:right="-82"/>
        <w:jc w:val="center"/>
        <w:outlineLvl w:val="0"/>
        <w:rPr>
          <w:rFonts w:ascii="宋体"/>
          <w:b/>
          <w:kern w:val="44"/>
          <w:sz w:val="44"/>
          <w:szCs w:val="44"/>
        </w:rPr>
      </w:pPr>
      <w:bookmarkStart w:id="257" w:name="_Toc226536817"/>
      <w:bookmarkStart w:id="258" w:name="_Toc232936437"/>
      <w:bookmarkStart w:id="259" w:name="_Toc144884218"/>
    </w:p>
    <w:p>
      <w:pPr>
        <w:keepNext/>
        <w:keepLines/>
        <w:spacing w:before="480" w:after="480" w:line="480" w:lineRule="exact"/>
        <w:ind w:right="-82"/>
        <w:jc w:val="center"/>
        <w:outlineLvl w:val="0"/>
        <w:rPr>
          <w:rFonts w:ascii="宋体"/>
          <w:b/>
          <w:kern w:val="44"/>
          <w:sz w:val="44"/>
          <w:szCs w:val="44"/>
        </w:rPr>
      </w:pPr>
      <w:r>
        <w:rPr>
          <w:rFonts w:hint="eastAsia" w:ascii="宋体" w:hAnsi="宋体"/>
          <w:b/>
          <w:kern w:val="44"/>
          <w:sz w:val="44"/>
          <w:szCs w:val="44"/>
        </w:rPr>
        <w:t>第四章</w:t>
      </w:r>
      <w:r>
        <w:rPr>
          <w:rFonts w:ascii="宋体" w:hAnsi="宋体"/>
          <w:b/>
          <w:kern w:val="44"/>
          <w:sz w:val="44"/>
          <w:szCs w:val="44"/>
        </w:rPr>
        <w:t xml:space="preserve"> </w:t>
      </w:r>
      <w:bookmarkEnd w:id="257"/>
      <w:bookmarkEnd w:id="258"/>
      <w:bookmarkEnd w:id="259"/>
      <w:r>
        <w:rPr>
          <w:rFonts w:hint="eastAsia" w:ascii="宋体" w:hAnsi="宋体"/>
          <w:b/>
          <w:kern w:val="44"/>
          <w:sz w:val="44"/>
          <w:szCs w:val="44"/>
        </w:rPr>
        <w:t>合同条款</w:t>
      </w:r>
    </w:p>
    <w:p>
      <w:pPr>
        <w:ind w:right="-82"/>
        <w:rPr>
          <w:rFonts w:ascii="宋体"/>
          <w:szCs w:val="24"/>
        </w:rPr>
      </w:pPr>
    </w:p>
    <w:p>
      <w:pPr>
        <w:ind w:right="-82"/>
        <w:rPr>
          <w:rFonts w:ascii="宋体"/>
          <w:szCs w:val="24"/>
        </w:rPr>
      </w:pPr>
    </w:p>
    <w:p>
      <w:pPr>
        <w:ind w:right="-82"/>
        <w:rPr>
          <w:rFonts w:ascii="宋体"/>
          <w:szCs w:val="24"/>
        </w:rPr>
      </w:pPr>
    </w:p>
    <w:p>
      <w:pPr>
        <w:ind w:firstLine="587" w:firstLineChars="209"/>
        <w:jc w:val="left"/>
        <w:outlineLvl w:val="1"/>
        <w:rPr>
          <w:rFonts w:ascii="仿宋_GB2312" w:hAnsi="宋体" w:eastAsia="仿宋_GB2312"/>
          <w:b/>
          <w:bCs/>
          <w:sz w:val="52"/>
          <w:szCs w:val="52"/>
        </w:rPr>
      </w:pPr>
      <w:bookmarkStart w:id="260" w:name="_1．报价原则"/>
      <w:bookmarkEnd w:id="260"/>
      <w:bookmarkStart w:id="261" w:name="_Toc10522148"/>
      <w:bookmarkStart w:id="262" w:name="_Toc11954664"/>
      <w:bookmarkStart w:id="263" w:name="_Toc12007779"/>
      <w:bookmarkStart w:id="264" w:name="_Toc10369795"/>
      <w:bookmarkStart w:id="265" w:name="_Toc31257020"/>
      <w:bookmarkStart w:id="266" w:name="_Toc12013013"/>
      <w:bookmarkStart w:id="267" w:name="_Toc10278649"/>
      <w:bookmarkStart w:id="268" w:name="_Toc10369676"/>
      <w:bookmarkStart w:id="269" w:name="_Toc10270628"/>
      <w:bookmarkStart w:id="270" w:name="_Toc13120857"/>
      <w:bookmarkStart w:id="271" w:name="_Toc11953581"/>
      <w:bookmarkStart w:id="272" w:name="_Toc12010594"/>
      <w:bookmarkStart w:id="273" w:name="_Toc13134241"/>
      <w:bookmarkStart w:id="274" w:name="_Toc12010486"/>
      <w:bookmarkStart w:id="275" w:name="_Toc73429432"/>
      <w:bookmarkStart w:id="276" w:name="_Toc17877696"/>
      <w:bookmarkStart w:id="277" w:name="_Toc10857688"/>
      <w:bookmarkStart w:id="278" w:name="_Toc11665011"/>
      <w:bookmarkStart w:id="279" w:name="_Toc12589398"/>
      <w:bookmarkStart w:id="280" w:name="_Toc13149801"/>
      <w:bookmarkStart w:id="281" w:name="_Toc181527644"/>
      <w:bookmarkStart w:id="282" w:name="_Toc13033232"/>
      <w:bookmarkStart w:id="283" w:name="_Toc64428498"/>
      <w:bookmarkStart w:id="284" w:name="_Toc11953839"/>
      <w:bookmarkStart w:id="285" w:name="_Toc10278522"/>
      <w:r>
        <w:rPr>
          <w:rFonts w:ascii="Times New Roman" w:hAnsi="Times New Roman"/>
          <w:b/>
          <w:sz w:val="28"/>
          <w:szCs w:val="28"/>
        </w:rPr>
        <w:br w:type="page"/>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spacing w:line="360" w:lineRule="auto"/>
        <w:jc w:val="center"/>
        <w:rPr>
          <w:rFonts w:ascii="仿宋_GB2312" w:hAnsi="华文中宋" w:eastAsia="仿宋_GB2312"/>
          <w:b/>
          <w:bCs/>
          <w:sz w:val="72"/>
          <w:szCs w:val="72"/>
        </w:rPr>
      </w:pPr>
      <w:r>
        <w:rPr>
          <w:rFonts w:hint="eastAsia" w:ascii="仿宋_GB2312" w:hAnsi="华文中宋" w:eastAsia="仿宋_GB2312"/>
          <w:b/>
          <w:bCs/>
          <w:sz w:val="72"/>
          <w:szCs w:val="72"/>
        </w:rPr>
        <w:t>建设工程监理合同</w:t>
      </w:r>
    </w:p>
    <w:p>
      <w:pPr>
        <w:tabs>
          <w:tab w:val="left" w:pos="3120"/>
        </w:tabs>
        <w:spacing w:line="360" w:lineRule="auto"/>
        <w:ind w:firstLine="2650" w:firstLineChars="600"/>
        <w:rPr>
          <w:rFonts w:ascii="华文中宋" w:hAnsi="华文中宋" w:eastAsia="华文中宋"/>
          <w:b/>
          <w:bCs/>
          <w:sz w:val="44"/>
          <w:szCs w:val="44"/>
        </w:rPr>
      </w:pPr>
      <w:r>
        <w:rPr>
          <w:rFonts w:hint="eastAsia" w:ascii="华文中宋" w:hAnsi="华文中宋" w:eastAsia="华文中宋"/>
          <w:b/>
          <w:bCs/>
          <w:sz w:val="44"/>
          <w:szCs w:val="44"/>
        </w:rPr>
        <w:t>第一部分  协议书</w:t>
      </w:r>
    </w:p>
    <w:p>
      <w:pPr>
        <w:adjustRightInd w:val="0"/>
        <w:snapToGrid w:val="0"/>
        <w:spacing w:line="360" w:lineRule="auto"/>
        <w:ind w:firstLine="326" w:firstLineChars="250"/>
        <w:rPr>
          <w:rFonts w:ascii="仿宋_GB2312" w:hAnsi="宋体" w:eastAsia="仿宋_GB2312"/>
          <w:b/>
          <w:sz w:val="13"/>
          <w:szCs w:val="13"/>
        </w:rPr>
      </w:pPr>
    </w:p>
    <w:p>
      <w:pPr>
        <w:adjustRightInd w:val="0"/>
        <w:snapToGrid w:val="0"/>
        <w:spacing w:line="360" w:lineRule="auto"/>
        <w:ind w:left="-178" w:leftChars="-85"/>
        <w:rPr>
          <w:rFonts w:ascii="宋体" w:hAnsi="宋体"/>
          <w:sz w:val="24"/>
          <w:szCs w:val="24"/>
        </w:rPr>
      </w:pPr>
      <w:r>
        <w:rPr>
          <w:rFonts w:hint="eastAsia" w:ascii="宋体" w:hAnsi="宋体"/>
          <w:sz w:val="24"/>
          <w:szCs w:val="24"/>
        </w:rPr>
        <w:t xml:space="preserve">委托人（全称）：    鑫广绿环再生资源股份有限公司        </w:t>
      </w:r>
    </w:p>
    <w:p>
      <w:pPr>
        <w:adjustRightInd w:val="0"/>
        <w:snapToGrid w:val="0"/>
        <w:spacing w:line="360" w:lineRule="auto"/>
        <w:ind w:left="-178" w:leftChars="-85"/>
        <w:rPr>
          <w:rFonts w:ascii="宋体" w:hAnsi="宋体"/>
          <w:sz w:val="24"/>
          <w:szCs w:val="24"/>
        </w:rPr>
      </w:pPr>
      <w:r>
        <w:rPr>
          <w:rFonts w:hint="eastAsia" w:ascii="宋体" w:hAnsi="宋体"/>
          <w:sz w:val="24"/>
          <w:szCs w:val="24"/>
        </w:rPr>
        <w:t xml:space="preserve">监理人（全称）：                                </w:t>
      </w:r>
    </w:p>
    <w:p>
      <w:pPr>
        <w:adjustRightInd w:val="0"/>
        <w:snapToGrid w:val="0"/>
        <w:spacing w:line="360" w:lineRule="auto"/>
        <w:ind w:left="-178" w:leftChars="-85" w:right="-328" w:rightChars="-156" w:firstLine="120" w:firstLineChars="50"/>
        <w:rPr>
          <w:rFonts w:ascii="宋体" w:hAnsi="宋体"/>
          <w:sz w:val="24"/>
          <w:szCs w:val="24"/>
        </w:rPr>
      </w:pPr>
      <w:r>
        <w:rPr>
          <w:rFonts w:hint="eastAsia" w:ascii="宋体" w:hAnsi="宋体"/>
          <w:sz w:val="24"/>
          <w:szCs w:val="24"/>
        </w:rPr>
        <w:t>根据</w:t>
      </w:r>
      <w:r>
        <w:rPr>
          <w:rFonts w:hint="eastAsia" w:ascii="宋体" w:cs="宋体"/>
          <w:kern w:val="0"/>
          <w:sz w:val="24"/>
        </w:rPr>
        <w:t>《民法典》合同编</w:t>
      </w:r>
      <w:r>
        <w:rPr>
          <w:rFonts w:hint="eastAsia" w:ascii="宋体" w:hAnsi="宋体"/>
          <w:sz w:val="24"/>
          <w:szCs w:val="24"/>
        </w:rPr>
        <w:t>、《中华人民共和国建筑法》及其他有关法律、法规，遵循平等、自愿、公平和诚信的原则，双方就下述工程委托监理与相关服务事项协商一致，订立本合同。</w:t>
      </w:r>
    </w:p>
    <w:p>
      <w:pPr>
        <w:spacing w:line="360" w:lineRule="auto"/>
        <w:ind w:left="-178" w:leftChars="-85"/>
        <w:outlineLvl w:val="0"/>
        <w:rPr>
          <w:rFonts w:ascii="宋体" w:hAnsi="宋体"/>
          <w:sz w:val="24"/>
          <w:szCs w:val="24"/>
        </w:rPr>
      </w:pPr>
      <w:r>
        <w:rPr>
          <w:rFonts w:hint="eastAsia" w:ascii="宋体" w:hAnsi="宋体"/>
          <w:sz w:val="24"/>
          <w:szCs w:val="24"/>
        </w:rPr>
        <w:t>一、工程概况</w:t>
      </w:r>
    </w:p>
    <w:p>
      <w:pPr>
        <w:adjustRightInd w:val="0"/>
        <w:snapToGrid w:val="0"/>
        <w:spacing w:line="360" w:lineRule="auto"/>
        <w:ind w:left="1558" w:leftChars="56" w:hanging="1440" w:hangingChars="600"/>
        <w:rPr>
          <w:rFonts w:ascii="宋体" w:hAnsi="宋体"/>
          <w:sz w:val="24"/>
          <w:szCs w:val="24"/>
        </w:rPr>
      </w:pPr>
      <w:r>
        <w:rPr>
          <w:rFonts w:hint="eastAsia" w:ascii="宋体" w:hAnsi="宋体"/>
          <w:sz w:val="24"/>
          <w:szCs w:val="24"/>
        </w:rPr>
        <w:t>1. 工程名称：鑫广绿环再生资源股份有限公司</w:t>
      </w:r>
      <w:r>
        <w:rPr>
          <w:rFonts w:hint="eastAsia" w:asciiTheme="minorEastAsia" w:hAnsiTheme="minorEastAsia" w:eastAsiaTheme="minorEastAsia"/>
          <w:sz w:val="24"/>
          <w:szCs w:val="24"/>
        </w:rPr>
        <w:t>危废处置中心技改项目</w:t>
      </w:r>
      <w:r>
        <w:rPr>
          <w:rFonts w:hint="eastAsia" w:ascii="宋体" w:hAnsi="宋体"/>
          <w:sz w:val="24"/>
          <w:szCs w:val="24"/>
        </w:rPr>
        <w:t>；</w:t>
      </w:r>
    </w:p>
    <w:p>
      <w:pPr>
        <w:adjustRightInd w:val="0"/>
        <w:snapToGrid w:val="0"/>
        <w:spacing w:line="360" w:lineRule="auto"/>
        <w:ind w:firstLine="134" w:firstLineChars="56"/>
        <w:rPr>
          <w:rFonts w:ascii="宋体" w:hAnsi="宋体"/>
          <w:sz w:val="24"/>
          <w:szCs w:val="24"/>
        </w:rPr>
      </w:pPr>
      <w:r>
        <w:rPr>
          <w:rFonts w:hint="eastAsia" w:ascii="宋体" w:hAnsi="宋体"/>
          <w:sz w:val="24"/>
          <w:szCs w:val="24"/>
        </w:rPr>
        <w:t>2. 工程地点：山东省烟台市开发区开封路8号；</w:t>
      </w:r>
    </w:p>
    <w:p>
      <w:pPr>
        <w:adjustRightInd w:val="0"/>
        <w:snapToGrid w:val="0"/>
        <w:spacing w:line="360" w:lineRule="auto"/>
        <w:ind w:firstLine="134" w:firstLineChars="56"/>
        <w:rPr>
          <w:rFonts w:ascii="宋体" w:hAnsi="宋体"/>
          <w:sz w:val="24"/>
          <w:szCs w:val="24"/>
        </w:rPr>
      </w:pPr>
      <w:r>
        <w:rPr>
          <w:rFonts w:hint="eastAsia" w:ascii="宋体" w:hAnsi="宋体"/>
          <w:sz w:val="24"/>
          <w:szCs w:val="24"/>
        </w:rPr>
        <w:t>3. 工程概算投资额：200 万元。</w:t>
      </w:r>
    </w:p>
    <w:p>
      <w:pPr>
        <w:adjustRightInd w:val="0"/>
        <w:snapToGrid w:val="0"/>
        <w:spacing w:line="360" w:lineRule="auto"/>
        <w:ind w:left="-178" w:leftChars="-85"/>
        <w:rPr>
          <w:rFonts w:ascii="宋体" w:hAnsi="宋体"/>
          <w:sz w:val="24"/>
          <w:szCs w:val="24"/>
        </w:rPr>
      </w:pPr>
      <w:r>
        <w:rPr>
          <w:rFonts w:hint="eastAsia" w:ascii="宋体" w:hAnsi="宋体"/>
          <w:sz w:val="24"/>
          <w:szCs w:val="24"/>
        </w:rPr>
        <w:t>二、词语限定</w:t>
      </w:r>
    </w:p>
    <w:p>
      <w:pPr>
        <w:adjustRightInd w:val="0"/>
        <w:snapToGrid w:val="0"/>
        <w:spacing w:line="360" w:lineRule="auto"/>
        <w:rPr>
          <w:rFonts w:ascii="宋体" w:hAnsi="宋体"/>
          <w:sz w:val="24"/>
          <w:szCs w:val="24"/>
        </w:rPr>
      </w:pPr>
      <w:r>
        <w:rPr>
          <w:rFonts w:hint="eastAsia" w:ascii="宋体" w:hAnsi="宋体"/>
          <w:sz w:val="24"/>
          <w:szCs w:val="24"/>
        </w:rPr>
        <w:t>协议书中相关词语的含义与通用条件中的定义与解释相同。</w:t>
      </w:r>
    </w:p>
    <w:p>
      <w:pPr>
        <w:spacing w:line="360" w:lineRule="auto"/>
        <w:ind w:left="-178" w:leftChars="-85"/>
        <w:outlineLvl w:val="0"/>
        <w:rPr>
          <w:rFonts w:ascii="宋体" w:hAnsi="宋体"/>
          <w:sz w:val="24"/>
          <w:szCs w:val="24"/>
        </w:rPr>
      </w:pPr>
      <w:r>
        <w:rPr>
          <w:rFonts w:hint="eastAsia" w:ascii="宋体" w:hAnsi="宋体"/>
          <w:sz w:val="24"/>
          <w:szCs w:val="24"/>
        </w:rPr>
        <w:t>三、组成本合同的文件</w:t>
      </w:r>
    </w:p>
    <w:p>
      <w:pPr>
        <w:adjustRightInd w:val="0"/>
        <w:snapToGrid w:val="0"/>
        <w:spacing w:line="360" w:lineRule="auto"/>
        <w:rPr>
          <w:rFonts w:ascii="宋体" w:hAnsi="宋体"/>
          <w:sz w:val="24"/>
          <w:szCs w:val="24"/>
        </w:rPr>
      </w:pPr>
      <w:r>
        <w:rPr>
          <w:rFonts w:hint="eastAsia" w:ascii="宋体" w:hAnsi="宋体"/>
          <w:sz w:val="24"/>
          <w:szCs w:val="24"/>
        </w:rPr>
        <w:t>1. 协议书；</w:t>
      </w:r>
    </w:p>
    <w:p>
      <w:pPr>
        <w:adjustRightInd w:val="0"/>
        <w:snapToGrid w:val="0"/>
        <w:spacing w:line="360" w:lineRule="auto"/>
        <w:rPr>
          <w:rFonts w:ascii="宋体" w:hAnsi="宋体"/>
          <w:sz w:val="24"/>
          <w:szCs w:val="24"/>
        </w:rPr>
      </w:pPr>
      <w:r>
        <w:rPr>
          <w:rFonts w:hint="eastAsia" w:ascii="宋体" w:hAnsi="宋体"/>
          <w:sz w:val="24"/>
          <w:szCs w:val="24"/>
        </w:rPr>
        <w:t>2. 专用条件；</w:t>
      </w:r>
    </w:p>
    <w:p>
      <w:pPr>
        <w:adjustRightInd w:val="0"/>
        <w:snapToGrid w:val="0"/>
        <w:spacing w:line="360" w:lineRule="auto"/>
        <w:rPr>
          <w:rFonts w:ascii="宋体" w:hAnsi="宋体"/>
          <w:sz w:val="24"/>
          <w:szCs w:val="24"/>
        </w:rPr>
      </w:pPr>
      <w:r>
        <w:rPr>
          <w:rFonts w:hint="eastAsia" w:ascii="宋体" w:hAnsi="宋体"/>
          <w:sz w:val="24"/>
          <w:szCs w:val="24"/>
        </w:rPr>
        <w:t>3. 通用条件；</w:t>
      </w:r>
    </w:p>
    <w:p>
      <w:pPr>
        <w:adjustRightInd w:val="0"/>
        <w:snapToGrid w:val="0"/>
        <w:spacing w:line="360" w:lineRule="auto"/>
        <w:rPr>
          <w:rFonts w:ascii="宋体" w:hAnsi="宋体"/>
          <w:sz w:val="24"/>
          <w:szCs w:val="24"/>
        </w:rPr>
      </w:pPr>
      <w:r>
        <w:rPr>
          <w:rFonts w:hint="eastAsia" w:ascii="宋体" w:hAnsi="宋体"/>
          <w:sz w:val="24"/>
          <w:szCs w:val="24"/>
        </w:rPr>
        <w:t>本合同签订后，双方依法签订的补充协议也是本合同文件的组成部分。</w:t>
      </w:r>
    </w:p>
    <w:p>
      <w:pPr>
        <w:spacing w:line="360" w:lineRule="auto"/>
        <w:outlineLvl w:val="0"/>
        <w:rPr>
          <w:rFonts w:ascii="宋体" w:hAnsi="宋体"/>
          <w:sz w:val="24"/>
          <w:szCs w:val="24"/>
        </w:rPr>
      </w:pPr>
      <w:r>
        <w:rPr>
          <w:rFonts w:hint="eastAsia" w:ascii="宋体" w:hAnsi="宋体"/>
          <w:sz w:val="24"/>
          <w:szCs w:val="24"/>
        </w:rPr>
        <w:t>四、总监理工程师</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总监理工程师姓名：        ，身份证号码：         ，注册号：      。</w:t>
      </w:r>
    </w:p>
    <w:p>
      <w:pPr>
        <w:spacing w:line="360" w:lineRule="auto"/>
        <w:outlineLvl w:val="0"/>
        <w:rPr>
          <w:rFonts w:ascii="宋体" w:hAnsi="宋体"/>
          <w:sz w:val="24"/>
          <w:szCs w:val="24"/>
          <w:highlight w:val="yellow"/>
        </w:rPr>
      </w:pPr>
      <w:r>
        <w:rPr>
          <w:rFonts w:hint="eastAsia" w:ascii="宋体" w:hAnsi="宋体"/>
          <w:sz w:val="24"/>
          <w:szCs w:val="24"/>
          <w:highlight w:val="yellow"/>
        </w:rPr>
        <w:t>五、酬金</w:t>
      </w:r>
    </w:p>
    <w:p>
      <w:pPr>
        <w:adjustRightInd w:val="0"/>
        <w:snapToGrid w:val="0"/>
        <w:spacing w:line="360" w:lineRule="auto"/>
        <w:ind w:firstLine="240" w:firstLineChars="100"/>
        <w:rPr>
          <w:rFonts w:ascii="宋体" w:hAnsi="宋体"/>
          <w:sz w:val="24"/>
          <w:szCs w:val="24"/>
          <w:highlight w:val="yellow"/>
        </w:rPr>
      </w:pPr>
      <w:r>
        <w:rPr>
          <w:rFonts w:hint="eastAsia" w:ascii="宋体" w:hAnsi="宋体"/>
          <w:sz w:val="24"/>
          <w:szCs w:val="24"/>
          <w:highlight w:val="yellow"/>
        </w:rPr>
        <w:t>酬金（大写）：         （¥               ）。</w:t>
      </w:r>
    </w:p>
    <w:p>
      <w:pPr>
        <w:adjustRightInd w:val="0"/>
        <w:snapToGrid w:val="0"/>
        <w:spacing w:line="360" w:lineRule="auto"/>
        <w:ind w:firstLine="240" w:firstLineChars="100"/>
        <w:rPr>
          <w:rFonts w:ascii="宋体" w:hAnsi="宋体"/>
          <w:sz w:val="24"/>
          <w:szCs w:val="24"/>
          <w:highlight w:val="yellow"/>
        </w:rPr>
      </w:pPr>
      <w:r>
        <w:rPr>
          <w:rFonts w:hint="eastAsia" w:ascii="宋体" w:hAnsi="宋体"/>
          <w:sz w:val="24"/>
          <w:szCs w:val="24"/>
          <w:highlight w:val="yellow"/>
        </w:rPr>
        <w:t>酬金一次性包死。</w:t>
      </w:r>
    </w:p>
    <w:p>
      <w:pPr>
        <w:adjustRightInd w:val="0"/>
        <w:snapToGrid w:val="0"/>
        <w:spacing w:line="360" w:lineRule="auto"/>
        <w:ind w:firstLine="240" w:firstLineChars="100"/>
        <w:rPr>
          <w:rFonts w:ascii="宋体" w:hAnsi="宋体"/>
          <w:sz w:val="24"/>
          <w:szCs w:val="24"/>
          <w:highlight w:val="yellow"/>
        </w:rPr>
      </w:pPr>
      <w:r>
        <w:rPr>
          <w:rFonts w:hint="eastAsia" w:ascii="宋体" w:hAnsi="宋体"/>
          <w:sz w:val="24"/>
          <w:szCs w:val="24"/>
          <w:highlight w:val="yellow"/>
        </w:rPr>
        <w:t>停工期间不计取酬金。</w:t>
      </w:r>
    </w:p>
    <w:p>
      <w:pPr>
        <w:spacing w:line="360" w:lineRule="auto"/>
        <w:outlineLvl w:val="0"/>
        <w:rPr>
          <w:rFonts w:ascii="宋体" w:hAnsi="宋体"/>
          <w:sz w:val="24"/>
          <w:szCs w:val="24"/>
        </w:rPr>
      </w:pPr>
      <w:r>
        <w:rPr>
          <w:rFonts w:hint="eastAsia" w:ascii="宋体" w:hAnsi="宋体"/>
          <w:sz w:val="24"/>
          <w:szCs w:val="24"/>
        </w:rPr>
        <w:t>六、监理期限</w:t>
      </w:r>
    </w:p>
    <w:p>
      <w:pPr>
        <w:adjustRightInd w:val="0"/>
        <w:snapToGrid w:val="0"/>
        <w:spacing w:line="360" w:lineRule="auto"/>
        <w:ind w:firstLine="540"/>
        <w:rPr>
          <w:rFonts w:ascii="宋体" w:hAnsi="宋体"/>
          <w:sz w:val="24"/>
        </w:rPr>
      </w:pPr>
      <w:r>
        <w:rPr>
          <w:rFonts w:hint="eastAsia" w:ascii="宋体" w:hAnsi="宋体"/>
          <w:sz w:val="24"/>
          <w:szCs w:val="24"/>
        </w:rPr>
        <w:t>自</w:t>
      </w:r>
      <w:r>
        <w:rPr>
          <w:rFonts w:hint="eastAsia" w:ascii="宋体" w:hAnsi="宋体"/>
          <w:sz w:val="24"/>
        </w:rPr>
        <w:t>合同签订之日起</w:t>
      </w:r>
      <w:r>
        <w:rPr>
          <w:rFonts w:hint="eastAsia" w:ascii="宋体" w:hAnsi="宋体"/>
          <w:sz w:val="24"/>
          <w:szCs w:val="24"/>
        </w:rPr>
        <w:t>至工程竣工验收合格后保修期满（监理开始进场工作的日期以甲方的正式通知为准）。</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保修期满并不意味着监理责任的终止，有关监理责任的有效期按照国家和地方法规执行。</w:t>
      </w:r>
    </w:p>
    <w:p>
      <w:pPr>
        <w:spacing w:line="360" w:lineRule="auto"/>
        <w:outlineLvl w:val="0"/>
        <w:rPr>
          <w:rFonts w:ascii="宋体" w:hAnsi="宋体"/>
          <w:sz w:val="24"/>
          <w:szCs w:val="24"/>
        </w:rPr>
      </w:pPr>
      <w:r>
        <w:rPr>
          <w:rFonts w:hint="eastAsia" w:ascii="宋体" w:hAnsi="宋体"/>
          <w:sz w:val="24"/>
          <w:szCs w:val="24"/>
        </w:rPr>
        <w:t>七、双方承诺</w:t>
      </w:r>
    </w:p>
    <w:p>
      <w:pPr>
        <w:spacing w:line="360" w:lineRule="auto"/>
        <w:ind w:firstLine="240" w:firstLineChars="100"/>
        <w:outlineLvl w:val="0"/>
        <w:rPr>
          <w:rFonts w:ascii="宋体" w:hAnsi="宋体"/>
          <w:sz w:val="24"/>
          <w:szCs w:val="24"/>
        </w:rPr>
      </w:pPr>
      <w:r>
        <w:rPr>
          <w:rFonts w:hint="eastAsia" w:ascii="宋体" w:hAnsi="宋体"/>
          <w:sz w:val="24"/>
          <w:szCs w:val="24"/>
        </w:rPr>
        <w:t>1. 监理人向委托人承诺，按照本合同约定提供监理与相关服务。</w:t>
      </w:r>
    </w:p>
    <w:p>
      <w:pPr>
        <w:spacing w:line="360" w:lineRule="auto"/>
        <w:ind w:firstLine="240" w:firstLineChars="100"/>
        <w:outlineLvl w:val="0"/>
        <w:rPr>
          <w:rFonts w:ascii="宋体" w:hAnsi="宋体"/>
          <w:sz w:val="24"/>
          <w:szCs w:val="24"/>
        </w:rPr>
      </w:pPr>
      <w:r>
        <w:rPr>
          <w:rFonts w:hint="eastAsia" w:ascii="宋体" w:hAnsi="宋体"/>
          <w:sz w:val="24"/>
          <w:szCs w:val="24"/>
        </w:rPr>
        <w:t>2. 委托人向监理人承诺，按照本合同约定提供房屋、资料，并按本合同约定支付酬金。</w:t>
      </w:r>
    </w:p>
    <w:p>
      <w:pPr>
        <w:spacing w:line="360" w:lineRule="auto"/>
        <w:outlineLvl w:val="0"/>
        <w:rPr>
          <w:rFonts w:ascii="宋体" w:hAnsi="宋体"/>
          <w:sz w:val="24"/>
          <w:szCs w:val="24"/>
        </w:rPr>
      </w:pPr>
      <w:r>
        <w:rPr>
          <w:rFonts w:hint="eastAsia" w:ascii="宋体" w:hAnsi="宋体"/>
          <w:sz w:val="24"/>
          <w:szCs w:val="24"/>
        </w:rPr>
        <w:t>八、合同订立</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 订立时间：  2022 年 11月    日。</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 订立地点： 鑫广绿环再生资源股份有限公司办公室 。</w:t>
      </w:r>
    </w:p>
    <w:p>
      <w:pPr>
        <w:adjustRightInd w:val="0"/>
        <w:snapToGrid w:val="0"/>
        <w:spacing w:line="360" w:lineRule="auto"/>
        <w:ind w:left="105" w:leftChars="50" w:firstLine="120" w:firstLineChars="50"/>
        <w:rPr>
          <w:rFonts w:ascii="宋体" w:hAnsi="宋体"/>
          <w:sz w:val="24"/>
          <w:szCs w:val="24"/>
        </w:rPr>
      </w:pPr>
      <w:r>
        <w:rPr>
          <w:rFonts w:hint="eastAsia" w:ascii="宋体" w:hAnsi="宋体"/>
          <w:sz w:val="24"/>
          <w:szCs w:val="24"/>
        </w:rPr>
        <w:t>3. 本合同一式 5 份，具有同等法律效力，委托人3 份、监理人2 份。</w:t>
      </w:r>
    </w:p>
    <w:p>
      <w:pPr>
        <w:adjustRightInd w:val="0"/>
        <w:snapToGrid w:val="0"/>
        <w:spacing w:line="360" w:lineRule="auto"/>
        <w:rPr>
          <w:rFonts w:ascii="宋体" w:hAnsi="宋体"/>
          <w:sz w:val="24"/>
          <w:szCs w:val="24"/>
        </w:rPr>
      </w:pPr>
      <w:r>
        <w:rPr>
          <w:rFonts w:hint="eastAsia" w:ascii="宋体" w:hAnsi="宋体"/>
          <w:sz w:val="24"/>
          <w:szCs w:val="24"/>
        </w:rPr>
        <w:t xml:space="preserve">委托人：   （盖章）            监理人：   （盖章）    </w:t>
      </w:r>
    </w:p>
    <w:p>
      <w:pPr>
        <w:adjustRightInd w:val="0"/>
        <w:snapToGrid w:val="0"/>
        <w:spacing w:line="360" w:lineRule="auto"/>
        <w:rPr>
          <w:rFonts w:ascii="宋体" w:hAnsi="宋体"/>
          <w:sz w:val="24"/>
          <w:szCs w:val="24"/>
        </w:rPr>
      </w:pPr>
      <w:r>
        <w:rPr>
          <w:rFonts w:hint="eastAsia" w:ascii="宋体" w:hAnsi="宋体"/>
          <w:sz w:val="24"/>
          <w:szCs w:val="24"/>
        </w:rPr>
        <w:t xml:space="preserve">住所：                             住所：                       </w:t>
      </w:r>
    </w:p>
    <w:p>
      <w:pPr>
        <w:adjustRightInd w:val="0"/>
        <w:snapToGrid w:val="0"/>
        <w:spacing w:line="360" w:lineRule="auto"/>
        <w:rPr>
          <w:rFonts w:ascii="宋体" w:hAnsi="宋体"/>
          <w:sz w:val="24"/>
          <w:szCs w:val="24"/>
        </w:rPr>
      </w:pPr>
      <w:r>
        <w:rPr>
          <w:rFonts w:hint="eastAsia" w:ascii="宋体" w:hAnsi="宋体"/>
          <w:sz w:val="24"/>
          <w:szCs w:val="24"/>
        </w:rPr>
        <w:t>法定代表人或其授权          法定代表人或其授权</w:t>
      </w:r>
    </w:p>
    <w:p>
      <w:pPr>
        <w:adjustRightInd w:val="0"/>
        <w:snapToGrid w:val="0"/>
        <w:spacing w:line="360" w:lineRule="auto"/>
        <w:rPr>
          <w:rFonts w:ascii="宋体" w:hAnsi="宋体"/>
          <w:sz w:val="24"/>
          <w:szCs w:val="24"/>
        </w:rPr>
      </w:pPr>
      <w:r>
        <w:rPr>
          <w:rFonts w:hint="eastAsia" w:ascii="宋体" w:hAnsi="宋体"/>
          <w:sz w:val="24"/>
          <w:szCs w:val="24"/>
        </w:rPr>
        <w:t xml:space="preserve">的代理人：（签字）           的代理人：（签字）          </w:t>
      </w:r>
    </w:p>
    <w:p>
      <w:pPr>
        <w:adjustRightInd w:val="0"/>
        <w:snapToGrid w:val="0"/>
        <w:spacing w:line="360" w:lineRule="auto"/>
        <w:rPr>
          <w:rFonts w:ascii="宋体" w:hAnsi="宋体"/>
          <w:sz w:val="24"/>
          <w:szCs w:val="24"/>
        </w:rPr>
      </w:pPr>
      <w:r>
        <w:rPr>
          <w:rFonts w:hint="eastAsia" w:ascii="宋体" w:hAnsi="宋体"/>
          <w:sz w:val="24"/>
          <w:szCs w:val="24"/>
        </w:rPr>
        <w:t xml:space="preserve">开户银行：                        开户银行：                  </w:t>
      </w:r>
    </w:p>
    <w:p>
      <w:pPr>
        <w:adjustRightInd w:val="0"/>
        <w:snapToGrid w:val="0"/>
        <w:spacing w:line="360" w:lineRule="auto"/>
        <w:rPr>
          <w:rFonts w:ascii="宋体" w:hAnsi="宋体"/>
          <w:sz w:val="24"/>
          <w:szCs w:val="24"/>
        </w:rPr>
      </w:pPr>
      <w:r>
        <w:rPr>
          <w:rFonts w:hint="eastAsia" w:ascii="宋体" w:hAnsi="宋体"/>
          <w:sz w:val="24"/>
          <w:szCs w:val="24"/>
        </w:rPr>
        <w:t xml:space="preserve">账号：                             账号：                         </w:t>
      </w:r>
    </w:p>
    <w:p>
      <w:pPr>
        <w:adjustRightInd w:val="0"/>
        <w:snapToGrid w:val="0"/>
        <w:spacing w:line="360" w:lineRule="auto"/>
        <w:rPr>
          <w:rFonts w:ascii="宋体" w:hAnsi="宋体"/>
          <w:sz w:val="24"/>
          <w:szCs w:val="24"/>
        </w:rPr>
      </w:pPr>
      <w:r>
        <w:rPr>
          <w:rFonts w:hint="eastAsia" w:ascii="宋体" w:hAnsi="宋体"/>
          <w:sz w:val="24"/>
          <w:szCs w:val="24"/>
        </w:rPr>
        <w:t xml:space="preserve">电话：                             电话：                       </w:t>
      </w:r>
    </w:p>
    <w:p>
      <w:pPr>
        <w:adjustRightInd w:val="0"/>
        <w:snapToGrid w:val="0"/>
        <w:spacing w:line="360" w:lineRule="auto"/>
        <w:rPr>
          <w:rFonts w:ascii="宋体" w:hAnsi="宋体"/>
          <w:sz w:val="24"/>
          <w:szCs w:val="24"/>
        </w:rPr>
      </w:pPr>
      <w:r>
        <w:rPr>
          <w:rFonts w:hint="eastAsia" w:ascii="宋体" w:hAnsi="宋体"/>
          <w:sz w:val="24"/>
          <w:szCs w:val="24"/>
        </w:rPr>
        <w:t xml:space="preserve">传真：                             传真：                       </w:t>
      </w:r>
    </w:p>
    <w:p>
      <w:pPr>
        <w:adjustRightInd w:val="0"/>
        <w:snapToGrid w:val="0"/>
        <w:spacing w:line="360" w:lineRule="auto"/>
        <w:rPr>
          <w:rFonts w:ascii="宋体" w:hAnsi="宋体"/>
          <w:sz w:val="24"/>
          <w:szCs w:val="24"/>
        </w:rPr>
      </w:pPr>
      <w:r>
        <w:rPr>
          <w:rFonts w:hint="eastAsia" w:ascii="宋体" w:hAnsi="宋体"/>
          <w:sz w:val="24"/>
          <w:szCs w:val="24"/>
        </w:rPr>
        <w:t xml:space="preserve">电子邮箱：                       电子邮箱：                  </w:t>
      </w:r>
    </w:p>
    <w:p>
      <w:pPr>
        <w:pageBreakBefore/>
        <w:spacing w:line="360" w:lineRule="auto"/>
        <w:jc w:val="center"/>
        <w:rPr>
          <w:rFonts w:ascii="宋体" w:hAnsi="宋体"/>
          <w:sz w:val="24"/>
          <w:szCs w:val="24"/>
        </w:rPr>
      </w:pPr>
      <w:r>
        <w:rPr>
          <w:rFonts w:hint="eastAsia" w:ascii="宋体" w:hAnsi="宋体"/>
          <w:sz w:val="24"/>
          <w:szCs w:val="24"/>
        </w:rPr>
        <w:t>第二部分  通用条件</w:t>
      </w:r>
    </w:p>
    <w:p>
      <w:pPr>
        <w:spacing w:line="360" w:lineRule="auto"/>
        <w:jc w:val="center"/>
        <w:rPr>
          <w:rFonts w:ascii="宋体" w:hAnsi="宋体"/>
          <w:sz w:val="24"/>
          <w:szCs w:val="24"/>
        </w:rPr>
      </w:pPr>
    </w:p>
    <w:p>
      <w:pPr>
        <w:spacing w:line="360" w:lineRule="auto"/>
        <w:rPr>
          <w:rFonts w:ascii="宋体" w:hAnsi="宋体"/>
          <w:sz w:val="24"/>
          <w:szCs w:val="24"/>
        </w:rPr>
      </w:pPr>
      <w:r>
        <w:rPr>
          <w:rFonts w:hint="eastAsia" w:ascii="宋体" w:hAnsi="宋体"/>
          <w:sz w:val="24"/>
          <w:szCs w:val="24"/>
        </w:rPr>
        <w:t>1. 定义与解释</w:t>
      </w:r>
    </w:p>
    <w:p>
      <w:pPr>
        <w:spacing w:line="360" w:lineRule="auto"/>
        <w:ind w:firstLine="240" w:firstLineChars="100"/>
        <w:rPr>
          <w:rFonts w:ascii="宋体" w:hAnsi="宋体"/>
          <w:sz w:val="24"/>
          <w:szCs w:val="24"/>
        </w:rPr>
      </w:pPr>
      <w:r>
        <w:rPr>
          <w:rFonts w:hint="eastAsia" w:ascii="宋体" w:hAnsi="宋体"/>
          <w:sz w:val="24"/>
          <w:szCs w:val="24"/>
        </w:rPr>
        <w:t>1.1 定义</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除根据上下文另有其意义外，组成本合同的全部文件中的下列名词和用语应具有本款所赋予的含义：</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 “工程”是指按照本合同约定实施监理与相关服务的建设工程。</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1.1.2 “委托人”是指本合同中委托监理与相关服务的一方，及其合法的继承人或受让人。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1.1.3 “监理人”是指本合同中提供监理与相关服务的一方，及其合法的继承人。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1.1.4 “承包人”是指在工程范围内与委托人签订勘察、设计、施工等有关合同的当事人，及其合法的继承人。</w:t>
      </w:r>
    </w:p>
    <w:p>
      <w:pPr>
        <w:pStyle w:val="10"/>
        <w:spacing w:line="360" w:lineRule="auto"/>
        <w:ind w:firstLine="240" w:firstLineChars="100"/>
        <w:rPr>
          <w:rFonts w:hAnsi="宋体"/>
          <w:kern w:val="2"/>
          <w:sz w:val="24"/>
          <w:szCs w:val="24"/>
        </w:rPr>
      </w:pPr>
      <w:r>
        <w:rPr>
          <w:rFonts w:hint="eastAsia" w:hAnsi="宋体"/>
          <w:kern w:val="2"/>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1.1.6 “相关服务”是指监理人受委托人的委托 ，按照本合同约定，在勘察、设计、保修等阶段提供的服务活动。</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1.1.7 “正常工作”指本合同订立时通用条件和专用条件中约定的监理人的工作。</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1.1.8 “附加工作”是指本合同约定的正常工作以外监理人的工作。</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1.1.9 “项目监理机构”是指监理人派驻工程负责履行本合同的组织机构。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1.1.10 “总监理工程师”是指由监理人的法定代表人书面授权，全面负责履行本合同、主持项目监理机构工作的注册监理工程师。</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1.1.11 “酬金”是指监理人履行本合同义务，委托人按照本合同约定给付监理人的金额。</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1.1.12 “正常工作酬金”是指监理人完成正常工作，委托人应给付监理人并在协议书中载明的签约酬金额。</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1.1.13 “附加工作酬金”是指监理人完成附加工作，委托人应给付监理人的金额。</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1.1.14 “一方”是指委托人或监理人；“双方”是指委托人和监理人；“第三方”是指除委托人和监理人以外的有关方。</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1.1.15 “书面形式”是指合同书、信件和数据电文（包括电报、电传、传真、电子数据交换和电子邮件）等可以有形地表现所载内容的形式。</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1.1.16 “天”是指第一天零时至第二天零时的时间。</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1.1.17“月”是指按公历从一个月中任何一天开始的一个公历月时间。</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rPr>
          <w:rFonts w:ascii="宋体" w:hAnsi="宋体"/>
          <w:sz w:val="24"/>
          <w:szCs w:val="24"/>
        </w:rPr>
      </w:pPr>
      <w:r>
        <w:rPr>
          <w:rFonts w:hint="eastAsia" w:ascii="宋体" w:hAnsi="宋体"/>
          <w:sz w:val="24"/>
          <w:szCs w:val="24"/>
        </w:rPr>
        <w:t>1.2 解释</w:t>
      </w:r>
    </w:p>
    <w:p>
      <w:pPr>
        <w:tabs>
          <w:tab w:val="left" w:pos="6140"/>
        </w:tabs>
        <w:adjustRightInd w:val="0"/>
        <w:snapToGrid w:val="0"/>
        <w:spacing w:line="360" w:lineRule="auto"/>
        <w:ind w:firstLine="240" w:firstLineChars="100"/>
        <w:rPr>
          <w:rFonts w:ascii="宋体" w:hAnsi="宋体"/>
          <w:sz w:val="24"/>
          <w:szCs w:val="24"/>
        </w:rPr>
      </w:pPr>
      <w:r>
        <w:rPr>
          <w:rFonts w:hint="eastAsia" w:ascii="宋体" w:hAnsi="宋体"/>
          <w:sz w:val="24"/>
          <w:szCs w:val="24"/>
        </w:rPr>
        <w:t>1.2.1本合同使用中文书写、解释和说明。如专用条件约定使用两种及以上语言文字时，应以中文为准。</w:t>
      </w:r>
    </w:p>
    <w:p>
      <w:pPr>
        <w:tabs>
          <w:tab w:val="left" w:pos="6140"/>
        </w:tabs>
        <w:adjustRightInd w:val="0"/>
        <w:snapToGrid w:val="0"/>
        <w:spacing w:line="360" w:lineRule="auto"/>
        <w:ind w:firstLine="240" w:firstLineChars="100"/>
        <w:rPr>
          <w:rFonts w:ascii="宋体" w:hAnsi="宋体"/>
          <w:sz w:val="24"/>
          <w:szCs w:val="24"/>
        </w:rPr>
      </w:pPr>
      <w:r>
        <w:rPr>
          <w:rFonts w:hint="eastAsia" w:ascii="宋体" w:hAnsi="宋体"/>
          <w:sz w:val="24"/>
          <w:szCs w:val="24"/>
        </w:rPr>
        <w:t>1.2.2 组成本合同的下列文件彼此应能相互解释、互为说明。除专用条件另有约定外，本合同文件的解释顺序如下：</w:t>
      </w:r>
    </w:p>
    <w:p>
      <w:pPr>
        <w:adjustRightInd w:val="0"/>
        <w:snapToGrid w:val="0"/>
        <w:spacing w:line="360" w:lineRule="auto"/>
        <w:rPr>
          <w:rFonts w:ascii="宋体" w:hAnsi="宋体"/>
          <w:sz w:val="24"/>
          <w:szCs w:val="24"/>
        </w:rPr>
      </w:pPr>
      <w:r>
        <w:rPr>
          <w:rFonts w:hint="eastAsia" w:ascii="宋体" w:hAnsi="宋体"/>
          <w:sz w:val="24"/>
          <w:szCs w:val="24"/>
        </w:rPr>
        <w:t>（1）协议书；</w:t>
      </w:r>
    </w:p>
    <w:p>
      <w:pPr>
        <w:adjustRightInd w:val="0"/>
        <w:snapToGrid w:val="0"/>
        <w:spacing w:line="360" w:lineRule="auto"/>
        <w:rPr>
          <w:rFonts w:ascii="宋体" w:hAnsi="宋体"/>
          <w:sz w:val="24"/>
          <w:szCs w:val="24"/>
        </w:rPr>
      </w:pPr>
      <w:r>
        <w:rPr>
          <w:rFonts w:hint="eastAsia" w:ascii="宋体" w:hAnsi="宋体"/>
          <w:sz w:val="24"/>
          <w:szCs w:val="24"/>
        </w:rPr>
        <w:t>（2）专用条件；</w:t>
      </w:r>
    </w:p>
    <w:p>
      <w:pPr>
        <w:adjustRightInd w:val="0"/>
        <w:snapToGrid w:val="0"/>
        <w:spacing w:line="360" w:lineRule="auto"/>
        <w:rPr>
          <w:rFonts w:ascii="宋体" w:hAnsi="宋体"/>
          <w:sz w:val="24"/>
          <w:szCs w:val="24"/>
        </w:rPr>
      </w:pPr>
      <w:r>
        <w:rPr>
          <w:rFonts w:hint="eastAsia" w:ascii="宋体" w:hAnsi="宋体"/>
          <w:sz w:val="24"/>
          <w:szCs w:val="24"/>
        </w:rPr>
        <w:t>（4）通用条件；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双方签订的补充协议与其他文件发生矛盾或歧义时，属于同一类内容的文件，应以最新签署的为准。</w:t>
      </w:r>
    </w:p>
    <w:p>
      <w:pPr>
        <w:adjustRightInd w:val="0"/>
        <w:snapToGrid w:val="0"/>
        <w:spacing w:line="360" w:lineRule="auto"/>
        <w:rPr>
          <w:rFonts w:ascii="宋体" w:hAnsi="宋体"/>
          <w:sz w:val="24"/>
          <w:szCs w:val="24"/>
        </w:rPr>
      </w:pPr>
      <w:r>
        <w:rPr>
          <w:rFonts w:hint="eastAsia" w:ascii="宋体" w:hAnsi="宋体"/>
          <w:sz w:val="24"/>
          <w:szCs w:val="24"/>
        </w:rPr>
        <w:t>2. 监理人的义务</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2.1 监理的范围和工作内容</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2.1.1 监理范围在专用条件中约定。</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2.1.2 除专用条件另有约定外，监理工作内容包括：</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（1）收到工程设计文件后编制监理规划，并在第一次工地会议7天前报委托人。根据有关规定和监理工作需要，编制监理实施细则；</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（2）熟悉工程设计文件，并参加由委托人主持的图纸会审和设计交底会议；</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（3）参加由委托人主持的第一次工地会议；主持监理例会并根据工程需要主持或参加专题会议；</w:t>
      </w:r>
    </w:p>
    <w:p>
      <w:pPr>
        <w:adjustRightInd w:val="0"/>
        <w:snapToGrid w:val="0"/>
        <w:spacing w:line="360" w:lineRule="auto"/>
        <w:rPr>
          <w:rFonts w:ascii="宋体" w:hAnsi="宋体"/>
          <w:sz w:val="24"/>
          <w:szCs w:val="24"/>
        </w:rPr>
      </w:pPr>
      <w:r>
        <w:rPr>
          <w:rFonts w:hint="eastAsia" w:ascii="宋体" w:hAnsi="宋体"/>
          <w:sz w:val="24"/>
          <w:szCs w:val="24"/>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 xml:space="preserve">（5）检查施工承包人工程质量、安全生产管理制度及组织机构和人员资格； </w:t>
      </w:r>
    </w:p>
    <w:p>
      <w:pPr>
        <w:adjustRightInd w:val="0"/>
        <w:snapToGrid w:val="0"/>
        <w:spacing w:line="360" w:lineRule="auto"/>
        <w:rPr>
          <w:rFonts w:ascii="宋体" w:hAnsi="宋体"/>
          <w:sz w:val="24"/>
          <w:szCs w:val="24"/>
        </w:rPr>
      </w:pPr>
      <w:r>
        <w:rPr>
          <w:rFonts w:hint="eastAsia" w:ascii="宋体" w:hAnsi="宋体"/>
          <w:sz w:val="24"/>
          <w:szCs w:val="24"/>
        </w:rPr>
        <w:t xml:space="preserve">  （6）检查施工承包人专职安全生产管理人员的配备情况；</w:t>
      </w:r>
    </w:p>
    <w:p>
      <w:pPr>
        <w:adjustRightInd w:val="0"/>
        <w:snapToGrid w:val="0"/>
        <w:spacing w:line="360" w:lineRule="auto"/>
        <w:rPr>
          <w:rFonts w:ascii="宋体" w:hAnsi="宋体"/>
          <w:sz w:val="24"/>
          <w:szCs w:val="24"/>
        </w:rPr>
      </w:pPr>
      <w:r>
        <w:rPr>
          <w:rFonts w:hint="eastAsia" w:ascii="宋体" w:hAnsi="宋体"/>
          <w:sz w:val="24"/>
          <w:szCs w:val="24"/>
        </w:rPr>
        <w:t xml:space="preserve">  （7）审查施工承包人提交的施工进度计划，核查承包人对施工进度计划的调整；</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（8）检查施工承包人的试验室；</w:t>
      </w:r>
    </w:p>
    <w:p>
      <w:pPr>
        <w:adjustRightInd w:val="0"/>
        <w:snapToGrid w:val="0"/>
        <w:spacing w:line="360" w:lineRule="auto"/>
        <w:rPr>
          <w:rFonts w:ascii="宋体" w:hAnsi="宋体"/>
          <w:sz w:val="24"/>
          <w:szCs w:val="24"/>
        </w:rPr>
      </w:pPr>
      <w:r>
        <w:rPr>
          <w:rFonts w:hint="eastAsia" w:ascii="宋体" w:hAnsi="宋体"/>
          <w:sz w:val="24"/>
          <w:szCs w:val="24"/>
        </w:rPr>
        <w:t xml:space="preserve">  （9）审核施工分包人资质条件；</w:t>
      </w:r>
    </w:p>
    <w:p>
      <w:pPr>
        <w:adjustRightInd w:val="0"/>
        <w:snapToGrid w:val="0"/>
        <w:spacing w:line="360" w:lineRule="auto"/>
        <w:rPr>
          <w:rFonts w:ascii="宋体" w:hAnsi="宋体"/>
          <w:sz w:val="24"/>
          <w:szCs w:val="24"/>
        </w:rPr>
      </w:pPr>
      <w:r>
        <w:rPr>
          <w:rFonts w:hint="eastAsia" w:ascii="宋体" w:hAnsi="宋体"/>
          <w:sz w:val="24"/>
          <w:szCs w:val="24"/>
        </w:rPr>
        <w:t xml:space="preserve">  （10）查验施工承包人的施工测量放线成果；</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（11）审查工程开工条件，对条件具备的签发开工令；</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ascii="宋体" w:hAnsi="宋体"/>
          <w:sz w:val="24"/>
          <w:szCs w:val="24"/>
        </w:rPr>
      </w:pPr>
      <w:r>
        <w:rPr>
          <w:rFonts w:hint="eastAsia" w:ascii="宋体" w:hAnsi="宋体"/>
          <w:sz w:val="24"/>
          <w:szCs w:val="24"/>
        </w:rPr>
        <w:t xml:space="preserve">  （13）审核施工承包人提交的工程款支付申请，签发或出具工程款支付证书，并报委托人审核、批准；</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（14）在巡视、旁站和检验过程中，发现工程质量、施工安全存在事故隐患的，要求施工承包人整改并报委托人；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（15）经委托人同意，签发工程暂停令和复工令；</w:t>
      </w:r>
    </w:p>
    <w:p>
      <w:pPr>
        <w:adjustRightInd w:val="0"/>
        <w:snapToGrid w:val="0"/>
        <w:spacing w:line="360" w:lineRule="auto"/>
        <w:rPr>
          <w:rFonts w:ascii="宋体" w:hAnsi="宋体"/>
          <w:sz w:val="24"/>
          <w:szCs w:val="24"/>
        </w:rPr>
      </w:pPr>
      <w:r>
        <w:rPr>
          <w:rFonts w:hint="eastAsia" w:ascii="宋体" w:hAnsi="宋体"/>
          <w:sz w:val="24"/>
          <w:szCs w:val="24"/>
        </w:rPr>
        <w:t xml:space="preserve">  （16）审查施工承包人提交的采用新材料、新工艺、新技术、新设备的论证材料及相关验收标准；</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（17）验收隐蔽工程、分部分项工程；</w:t>
      </w:r>
    </w:p>
    <w:p>
      <w:pPr>
        <w:adjustRightInd w:val="0"/>
        <w:snapToGrid w:val="0"/>
        <w:spacing w:line="360" w:lineRule="auto"/>
        <w:rPr>
          <w:rFonts w:ascii="宋体" w:hAnsi="宋体"/>
          <w:sz w:val="24"/>
          <w:szCs w:val="24"/>
        </w:rPr>
      </w:pPr>
      <w:r>
        <w:rPr>
          <w:rFonts w:hint="eastAsia" w:ascii="宋体" w:hAnsi="宋体"/>
          <w:sz w:val="24"/>
          <w:szCs w:val="24"/>
        </w:rPr>
        <w:t xml:space="preserve">  （18）审查施工承包人提交的工程变更申请，协调处理施工进度调整、费用索赔、合同争议等事项；</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（19）审查施工承包人提交的竣工验收申请，编写工程质量评估报告；</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（20）参加工程竣工验收，签署竣工验收意见；</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（21）审查施工承包人提交的竣工结算申请并报委托人；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（22）编制、整理工程监理归档文件并报委托人。</w:t>
      </w:r>
    </w:p>
    <w:p>
      <w:pPr>
        <w:spacing w:line="360" w:lineRule="auto"/>
        <w:ind w:firstLine="240" w:firstLineChars="100"/>
        <w:rPr>
          <w:rFonts w:ascii="宋体" w:hAnsi="宋体"/>
          <w:sz w:val="24"/>
          <w:szCs w:val="24"/>
        </w:rPr>
      </w:pPr>
      <w:r>
        <w:rPr>
          <w:rFonts w:hint="eastAsia" w:ascii="宋体" w:hAnsi="宋体"/>
          <w:sz w:val="24"/>
          <w:szCs w:val="24"/>
        </w:rPr>
        <w:t>2.2 监理与相关服务依据</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2.2.1 监理依据包括：</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（1）适用的法律、行政法规及部门规章；</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（2）与工程有关的标准；</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（3）工程设计及有关文件；</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（4）本合同及委托人与第三方签订的与实施工程有关的其他合同。</w:t>
      </w:r>
    </w:p>
    <w:p>
      <w:pPr>
        <w:spacing w:line="360" w:lineRule="auto"/>
        <w:ind w:firstLine="396" w:firstLineChars="165"/>
        <w:rPr>
          <w:rFonts w:ascii="宋体" w:hAnsi="宋体"/>
          <w:sz w:val="24"/>
          <w:szCs w:val="24"/>
        </w:rPr>
      </w:pPr>
      <w:r>
        <w:rPr>
          <w:rFonts w:hint="eastAsia" w:ascii="宋体" w:hAnsi="宋体"/>
          <w:sz w:val="24"/>
          <w:szCs w:val="24"/>
        </w:rPr>
        <w:t>双方根据工程的行业和地域特点，在专用条件中具体约定监理依据。</w:t>
      </w:r>
    </w:p>
    <w:p>
      <w:pPr>
        <w:spacing w:line="360" w:lineRule="auto"/>
        <w:rPr>
          <w:rFonts w:ascii="宋体" w:hAnsi="宋体"/>
          <w:sz w:val="24"/>
          <w:szCs w:val="24"/>
        </w:rPr>
      </w:pPr>
      <w:r>
        <w:rPr>
          <w:rFonts w:hint="eastAsia" w:ascii="宋体" w:hAnsi="宋体"/>
          <w:sz w:val="24"/>
          <w:szCs w:val="24"/>
        </w:rPr>
        <w:t>2.2.2 相关服务依据在专用条件中约定。</w:t>
      </w:r>
    </w:p>
    <w:p>
      <w:pPr>
        <w:spacing w:line="360" w:lineRule="auto"/>
        <w:ind w:firstLine="240" w:firstLineChars="100"/>
        <w:rPr>
          <w:rFonts w:ascii="宋体" w:hAnsi="宋体"/>
          <w:sz w:val="24"/>
          <w:szCs w:val="24"/>
        </w:rPr>
      </w:pPr>
      <w:r>
        <w:rPr>
          <w:rFonts w:hint="eastAsia" w:ascii="宋体" w:hAnsi="宋体"/>
          <w:sz w:val="24"/>
          <w:szCs w:val="24"/>
        </w:rPr>
        <w:t>2.3 项目监理机构和人员</w:t>
      </w:r>
    </w:p>
    <w:p>
      <w:pPr>
        <w:spacing w:line="360" w:lineRule="auto"/>
        <w:ind w:firstLine="240" w:firstLineChars="100"/>
        <w:rPr>
          <w:rFonts w:ascii="宋体" w:hAnsi="宋体"/>
          <w:sz w:val="24"/>
          <w:szCs w:val="24"/>
        </w:rPr>
      </w:pPr>
      <w:r>
        <w:rPr>
          <w:rFonts w:hint="eastAsia" w:ascii="宋体" w:hAnsi="宋体"/>
          <w:sz w:val="24"/>
          <w:szCs w:val="24"/>
        </w:rPr>
        <w:t>2.3.1 监理人应组建满足工作需要的项目监理机构，配备必要的检测设备。项目监理机构的主要人员应具有相应的资格条件。</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2.3.2本合同履行过程中，总监理工程师及重要岗位监理人员应保持相对稳定，以保证监理工作正常进行。</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2.3.4 监理人应及时更换有下列情形之一的监理人员：</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（1）严重过失行为的；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（2）有违法行为不能履行职责的；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（3）涉嫌犯罪的；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（4）不能胜任岗位职责的；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（5）严重违反职业道德的；</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（6）专用条件约定的其他情形。</w:t>
      </w:r>
    </w:p>
    <w:p>
      <w:pPr>
        <w:spacing w:line="360" w:lineRule="auto"/>
        <w:ind w:firstLine="240" w:firstLineChars="100"/>
        <w:rPr>
          <w:rFonts w:ascii="宋体" w:hAnsi="宋体"/>
          <w:sz w:val="24"/>
          <w:szCs w:val="24"/>
        </w:rPr>
      </w:pPr>
      <w:r>
        <w:rPr>
          <w:rFonts w:hint="eastAsia" w:ascii="宋体" w:hAnsi="宋体"/>
          <w:sz w:val="24"/>
          <w:szCs w:val="24"/>
        </w:rPr>
        <w:t>2.3.5 委托人可要求监理人更换不能胜任本职工作的项目监理机构人员。</w:t>
      </w:r>
    </w:p>
    <w:p>
      <w:pPr>
        <w:spacing w:line="360" w:lineRule="auto"/>
        <w:ind w:firstLine="240" w:firstLineChars="100"/>
        <w:rPr>
          <w:rFonts w:ascii="宋体" w:hAnsi="宋体"/>
          <w:sz w:val="24"/>
          <w:szCs w:val="24"/>
        </w:rPr>
      </w:pPr>
      <w:r>
        <w:rPr>
          <w:rFonts w:hint="eastAsia" w:ascii="宋体" w:hAnsi="宋体"/>
          <w:sz w:val="24"/>
          <w:szCs w:val="24"/>
        </w:rPr>
        <w:t>2.4 履行职责</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监理人应遵循职业道德准则和行为规范，严格按照法律法规、工程建设有关标准及本合同履行职责。</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2.4.2 当委托人与承包人之间的合同争议提交仲裁机构仲裁或人民法院审理时，监理人应提供必要的证明资料。</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在紧急情况下，为了保护财产和人身安全，监理人所发出的指令未能事先报委托人批准时，应在发出指令后的24小时内以书面形式报委托人。</w:t>
      </w:r>
    </w:p>
    <w:p>
      <w:pPr>
        <w:spacing w:line="360" w:lineRule="auto"/>
        <w:ind w:firstLine="240" w:firstLineChars="100"/>
        <w:rPr>
          <w:rFonts w:ascii="宋体" w:hAnsi="宋体"/>
          <w:sz w:val="24"/>
          <w:szCs w:val="24"/>
        </w:rPr>
      </w:pPr>
      <w:r>
        <w:rPr>
          <w:rFonts w:hint="eastAsia" w:ascii="宋体" w:hAnsi="宋体"/>
          <w:sz w:val="24"/>
          <w:szCs w:val="24"/>
        </w:rPr>
        <w:t>2.4.4 除专用条件另有约定外，监理人发现承包人的人员不能胜任本职工作的，有权要求承包人予以调换。</w:t>
      </w:r>
    </w:p>
    <w:p>
      <w:pPr>
        <w:spacing w:line="360" w:lineRule="auto"/>
        <w:ind w:left="210" w:leftChars="100"/>
        <w:rPr>
          <w:rFonts w:ascii="宋体" w:hAnsi="宋体"/>
          <w:sz w:val="24"/>
          <w:szCs w:val="24"/>
        </w:rPr>
      </w:pPr>
      <w:r>
        <w:rPr>
          <w:rFonts w:hint="eastAsia" w:ascii="宋体" w:hAnsi="宋体"/>
          <w:sz w:val="24"/>
          <w:szCs w:val="24"/>
        </w:rPr>
        <w:t>2.5 提交报告</w:t>
      </w:r>
    </w:p>
    <w:p>
      <w:pPr>
        <w:spacing w:line="360" w:lineRule="auto"/>
        <w:ind w:firstLine="240" w:firstLineChars="100"/>
        <w:rPr>
          <w:rFonts w:ascii="宋体" w:hAnsi="宋体"/>
          <w:sz w:val="24"/>
          <w:szCs w:val="24"/>
        </w:rPr>
      </w:pPr>
      <w:r>
        <w:rPr>
          <w:rFonts w:hint="eastAsia" w:ascii="宋体" w:hAnsi="宋体"/>
          <w:sz w:val="24"/>
          <w:szCs w:val="24"/>
        </w:rPr>
        <w:t>监理人应按专用条件约定的种类、时间和份数向委托人提交监理与相关服务的报告。</w:t>
      </w:r>
    </w:p>
    <w:p>
      <w:pPr>
        <w:spacing w:line="360" w:lineRule="auto"/>
        <w:ind w:firstLine="240" w:firstLineChars="100"/>
        <w:rPr>
          <w:rFonts w:ascii="宋体" w:hAnsi="宋体"/>
          <w:sz w:val="24"/>
          <w:szCs w:val="24"/>
        </w:rPr>
      </w:pPr>
      <w:r>
        <w:rPr>
          <w:rFonts w:hint="eastAsia" w:ascii="宋体" w:hAnsi="宋体"/>
          <w:sz w:val="24"/>
          <w:szCs w:val="24"/>
        </w:rPr>
        <w:t>2.6 文件资料</w:t>
      </w:r>
    </w:p>
    <w:p>
      <w:pPr>
        <w:spacing w:line="360" w:lineRule="auto"/>
        <w:ind w:firstLine="480" w:firstLineChars="200"/>
        <w:rPr>
          <w:rFonts w:ascii="宋体" w:hAnsi="宋体"/>
          <w:sz w:val="24"/>
          <w:szCs w:val="24"/>
        </w:rPr>
      </w:pPr>
      <w:r>
        <w:rPr>
          <w:rFonts w:hint="eastAsia" w:ascii="宋体" w:hAnsi="宋体"/>
          <w:sz w:val="24"/>
          <w:szCs w:val="24"/>
        </w:rPr>
        <w:t>在本合同履行期内，监理人应在现场保留工作所用的图纸、报告及记录监理工作的相关文件。工程竣工后，应当按照档案管理规定将监理有关文件归档。</w:t>
      </w:r>
    </w:p>
    <w:p>
      <w:pPr>
        <w:spacing w:line="360" w:lineRule="auto"/>
        <w:ind w:left="210" w:leftChars="100"/>
        <w:rPr>
          <w:rFonts w:ascii="宋体" w:hAnsi="宋体"/>
          <w:sz w:val="24"/>
          <w:szCs w:val="24"/>
        </w:rPr>
      </w:pPr>
      <w:r>
        <w:rPr>
          <w:rFonts w:hint="eastAsia" w:ascii="宋体" w:hAnsi="宋体"/>
          <w:sz w:val="24"/>
          <w:szCs w:val="24"/>
        </w:rPr>
        <w:t>2.7 使用委托人的财产</w:t>
      </w:r>
    </w:p>
    <w:p>
      <w:pPr>
        <w:spacing w:line="360" w:lineRule="auto"/>
        <w:ind w:firstLine="480" w:firstLineChars="200"/>
        <w:rPr>
          <w:rFonts w:ascii="宋体" w:hAnsi="宋体"/>
          <w:sz w:val="24"/>
          <w:szCs w:val="24"/>
        </w:rPr>
      </w:pPr>
      <w:r>
        <w:rPr>
          <w:rFonts w:hint="eastAsia" w:ascii="宋体" w:hAnsi="宋体"/>
          <w:sz w:val="24"/>
          <w:szCs w:val="24"/>
        </w:rPr>
        <w:t>监理人无偿使用由委托人提供的房屋。除专用条件另有约定外，委托人提供的房屋属于委托人的财产，监理人应妥善使用和保管，在本合同终止时将这些房屋的清单提交委托人，并按专用条件约定的时间和方式移交。</w:t>
      </w:r>
    </w:p>
    <w:p>
      <w:pPr>
        <w:spacing w:line="360" w:lineRule="auto"/>
        <w:rPr>
          <w:rFonts w:ascii="宋体" w:hAnsi="宋体"/>
          <w:sz w:val="24"/>
          <w:szCs w:val="24"/>
        </w:rPr>
      </w:pPr>
      <w:r>
        <w:rPr>
          <w:rFonts w:hint="eastAsia" w:ascii="宋体" w:hAnsi="宋体"/>
          <w:sz w:val="24"/>
          <w:szCs w:val="24"/>
        </w:rPr>
        <w:t>3．委托人的义务</w:t>
      </w:r>
    </w:p>
    <w:p>
      <w:pPr>
        <w:spacing w:line="360" w:lineRule="auto"/>
        <w:ind w:left="210" w:leftChars="100"/>
        <w:rPr>
          <w:rFonts w:ascii="宋体" w:hAnsi="宋体"/>
          <w:sz w:val="24"/>
          <w:szCs w:val="24"/>
        </w:rPr>
      </w:pPr>
      <w:r>
        <w:rPr>
          <w:rFonts w:hint="eastAsia" w:ascii="宋体" w:hAnsi="宋体"/>
          <w:sz w:val="24"/>
          <w:szCs w:val="24"/>
        </w:rPr>
        <w:t>3.1 告知</w:t>
      </w:r>
    </w:p>
    <w:p>
      <w:pPr>
        <w:spacing w:line="360" w:lineRule="auto"/>
        <w:ind w:firstLine="480" w:firstLineChars="200"/>
        <w:rPr>
          <w:rFonts w:ascii="宋体" w:hAnsi="宋体"/>
          <w:sz w:val="24"/>
          <w:szCs w:val="24"/>
        </w:rPr>
      </w:pPr>
      <w:r>
        <w:rPr>
          <w:rFonts w:hint="eastAsia" w:ascii="宋体" w:hAnsi="宋体"/>
          <w:sz w:val="24"/>
          <w:szCs w:val="24"/>
        </w:rPr>
        <w:t>委托人应在委托人与承包人签订的合同中明确监理人、总监理工程师和授予项目监理机构的权限。如有变更，应及时通知承包人。</w:t>
      </w:r>
    </w:p>
    <w:p>
      <w:pPr>
        <w:spacing w:line="360" w:lineRule="auto"/>
        <w:ind w:left="210" w:leftChars="100"/>
        <w:rPr>
          <w:rFonts w:ascii="宋体" w:hAnsi="宋体"/>
          <w:sz w:val="24"/>
          <w:szCs w:val="24"/>
        </w:rPr>
      </w:pPr>
      <w:r>
        <w:rPr>
          <w:rFonts w:hint="eastAsia" w:ascii="宋体" w:hAnsi="宋体"/>
          <w:sz w:val="24"/>
          <w:szCs w:val="24"/>
        </w:rPr>
        <w:t>3.2 提供资料</w:t>
      </w:r>
    </w:p>
    <w:p>
      <w:pPr>
        <w:spacing w:line="360" w:lineRule="auto"/>
        <w:ind w:firstLine="480" w:firstLineChars="200"/>
        <w:rPr>
          <w:rFonts w:ascii="宋体" w:hAnsi="宋体"/>
          <w:sz w:val="24"/>
          <w:szCs w:val="24"/>
        </w:rPr>
      </w:pPr>
      <w:r>
        <w:rPr>
          <w:rFonts w:hint="eastAsia" w:ascii="宋体" w:hAnsi="宋体"/>
          <w:sz w:val="24"/>
          <w:szCs w:val="24"/>
        </w:rPr>
        <w:t>委托人应无偿向监理人提供工程有关的资料。在本合同履行过程中，委托人应及时向监理人提供最新的与工程有关的资料。</w:t>
      </w:r>
    </w:p>
    <w:p>
      <w:pPr>
        <w:spacing w:line="360" w:lineRule="auto"/>
        <w:ind w:left="210" w:leftChars="100"/>
        <w:rPr>
          <w:rFonts w:ascii="宋体" w:hAnsi="宋体"/>
          <w:sz w:val="24"/>
          <w:szCs w:val="24"/>
        </w:rPr>
      </w:pPr>
      <w:r>
        <w:rPr>
          <w:rFonts w:hint="eastAsia" w:ascii="宋体" w:hAnsi="宋体"/>
          <w:sz w:val="24"/>
          <w:szCs w:val="24"/>
        </w:rPr>
        <w:t>3.3 提供工作条件</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委托人应为监理人完成监理与相关服务提供必要的条件。</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3.3.1 委托人</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应提供房屋供监理人无偿使用。</w:t>
      </w:r>
    </w:p>
    <w:p>
      <w:pPr>
        <w:spacing w:line="360" w:lineRule="auto"/>
        <w:ind w:firstLine="240" w:firstLineChars="100"/>
        <w:rPr>
          <w:rFonts w:ascii="宋体" w:hAnsi="宋体"/>
          <w:sz w:val="24"/>
          <w:szCs w:val="24"/>
        </w:rPr>
      </w:pPr>
      <w:r>
        <w:rPr>
          <w:rFonts w:hint="eastAsia" w:ascii="宋体" w:hAnsi="宋体"/>
          <w:sz w:val="24"/>
          <w:szCs w:val="24"/>
        </w:rPr>
        <w:t>3.3.2 委托人应负责协调工程建设中所有外部关系，为监理人履行本合同提供必要的外部条件。</w:t>
      </w:r>
    </w:p>
    <w:p>
      <w:pPr>
        <w:snapToGrid w:val="0"/>
        <w:spacing w:line="360" w:lineRule="auto"/>
        <w:ind w:firstLine="240" w:firstLineChars="100"/>
        <w:rPr>
          <w:rFonts w:ascii="宋体" w:hAnsi="宋体"/>
          <w:sz w:val="24"/>
          <w:szCs w:val="24"/>
        </w:rPr>
      </w:pPr>
      <w:r>
        <w:rPr>
          <w:rFonts w:hint="eastAsia" w:ascii="宋体" w:hAnsi="宋体"/>
          <w:sz w:val="24"/>
          <w:szCs w:val="24"/>
        </w:rPr>
        <w:t>3.4 委托人代表</w:t>
      </w:r>
    </w:p>
    <w:p>
      <w:pPr>
        <w:snapToGrid w:val="0"/>
        <w:spacing w:line="360" w:lineRule="auto"/>
        <w:ind w:firstLine="240" w:firstLineChars="100"/>
        <w:rPr>
          <w:rFonts w:ascii="宋体" w:hAnsi="宋体"/>
          <w:sz w:val="24"/>
          <w:szCs w:val="24"/>
        </w:rPr>
      </w:pPr>
      <w:r>
        <w:rPr>
          <w:rFonts w:hint="eastAsia" w:ascii="宋体" w:hAnsi="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firstLine="240" w:firstLineChars="100"/>
        <w:rPr>
          <w:rFonts w:ascii="宋体" w:hAnsi="宋体"/>
          <w:sz w:val="24"/>
          <w:szCs w:val="24"/>
        </w:rPr>
      </w:pPr>
      <w:r>
        <w:rPr>
          <w:rFonts w:hint="eastAsia" w:ascii="宋体" w:hAnsi="宋体"/>
          <w:sz w:val="24"/>
          <w:szCs w:val="24"/>
        </w:rPr>
        <w:t>3.5 委托人意见或要求</w:t>
      </w:r>
    </w:p>
    <w:p>
      <w:pPr>
        <w:snapToGrid w:val="0"/>
        <w:spacing w:line="360" w:lineRule="auto"/>
        <w:ind w:firstLine="240" w:firstLineChars="100"/>
        <w:rPr>
          <w:rFonts w:ascii="宋体" w:hAnsi="宋体"/>
          <w:sz w:val="24"/>
          <w:szCs w:val="24"/>
        </w:rPr>
      </w:pPr>
      <w:r>
        <w:rPr>
          <w:rFonts w:hint="eastAsia" w:ascii="宋体" w:hAnsi="宋体"/>
          <w:sz w:val="24"/>
          <w:szCs w:val="24"/>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宋体" w:hAnsi="宋体"/>
          <w:sz w:val="24"/>
          <w:szCs w:val="24"/>
        </w:rPr>
      </w:pPr>
      <w:r>
        <w:rPr>
          <w:rFonts w:hint="eastAsia" w:ascii="宋体" w:hAnsi="宋体"/>
          <w:sz w:val="24"/>
          <w:szCs w:val="24"/>
        </w:rPr>
        <w:t>3.6 答复</w:t>
      </w:r>
    </w:p>
    <w:p>
      <w:pPr>
        <w:snapToGrid w:val="0"/>
        <w:spacing w:line="360" w:lineRule="auto"/>
        <w:ind w:firstLine="240" w:firstLineChars="100"/>
        <w:rPr>
          <w:rFonts w:ascii="宋体" w:hAnsi="宋体"/>
          <w:sz w:val="24"/>
          <w:szCs w:val="24"/>
        </w:rPr>
      </w:pPr>
      <w:r>
        <w:rPr>
          <w:rFonts w:hint="eastAsia" w:ascii="宋体" w:hAnsi="宋体"/>
          <w:sz w:val="24"/>
          <w:szCs w:val="24"/>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宋体" w:hAnsi="宋体"/>
          <w:sz w:val="24"/>
          <w:szCs w:val="24"/>
        </w:rPr>
      </w:pPr>
      <w:r>
        <w:rPr>
          <w:rFonts w:hint="eastAsia" w:ascii="宋体" w:hAnsi="宋体"/>
          <w:sz w:val="24"/>
          <w:szCs w:val="24"/>
        </w:rPr>
        <w:t>3.7 支付</w:t>
      </w:r>
    </w:p>
    <w:p>
      <w:pPr>
        <w:snapToGrid w:val="0"/>
        <w:spacing w:line="360" w:lineRule="auto"/>
        <w:ind w:firstLine="240" w:firstLineChars="100"/>
        <w:rPr>
          <w:rFonts w:ascii="宋体" w:hAnsi="宋体"/>
          <w:sz w:val="24"/>
          <w:szCs w:val="24"/>
        </w:rPr>
      </w:pPr>
      <w:r>
        <w:rPr>
          <w:rFonts w:hint="eastAsia" w:ascii="宋体" w:hAnsi="宋体"/>
          <w:sz w:val="24"/>
          <w:szCs w:val="24"/>
        </w:rPr>
        <w:t>委托人应按本合同约定，向监理人支付酬金。</w:t>
      </w:r>
    </w:p>
    <w:p>
      <w:pPr>
        <w:snapToGrid w:val="0"/>
        <w:spacing w:line="360" w:lineRule="auto"/>
        <w:rPr>
          <w:rFonts w:ascii="宋体" w:hAnsi="宋体"/>
          <w:sz w:val="24"/>
          <w:szCs w:val="24"/>
        </w:rPr>
      </w:pPr>
      <w:r>
        <w:rPr>
          <w:rFonts w:hint="eastAsia" w:ascii="宋体" w:hAnsi="宋体"/>
          <w:sz w:val="24"/>
          <w:szCs w:val="24"/>
        </w:rPr>
        <w:t>4. 违约责任</w:t>
      </w:r>
    </w:p>
    <w:p>
      <w:pPr>
        <w:spacing w:line="360" w:lineRule="auto"/>
        <w:ind w:left="210" w:leftChars="100"/>
        <w:rPr>
          <w:rFonts w:ascii="宋体" w:hAnsi="宋体"/>
          <w:sz w:val="24"/>
          <w:szCs w:val="24"/>
        </w:rPr>
      </w:pPr>
      <w:r>
        <w:rPr>
          <w:rFonts w:hint="eastAsia" w:ascii="宋体" w:hAnsi="宋体"/>
          <w:sz w:val="24"/>
          <w:szCs w:val="24"/>
        </w:rPr>
        <w:t>4.1 监理人的违约责任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监理人未履行本合同义务的，应承担相应的责任。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4.1.1 因监理人违反本合同约定给委托人造成损失的，监理人应当赔偿委托人损失。赔偿金额的确定方法在专用条件中约定。监理人承担部分赔偿责任的，其承担赔偿金额由双方协商确定。</w:t>
      </w:r>
    </w:p>
    <w:p>
      <w:pPr>
        <w:spacing w:line="360" w:lineRule="auto"/>
        <w:ind w:firstLine="240" w:firstLineChars="100"/>
        <w:rPr>
          <w:rFonts w:ascii="宋体" w:hAnsi="宋体"/>
          <w:sz w:val="24"/>
          <w:szCs w:val="24"/>
        </w:rPr>
      </w:pPr>
      <w:r>
        <w:rPr>
          <w:rFonts w:hint="eastAsia" w:ascii="宋体" w:hAnsi="宋体"/>
          <w:sz w:val="24"/>
          <w:szCs w:val="24"/>
        </w:rPr>
        <w:t>4.1.2 监理人向委托人的索赔不成立时，监理人应赔偿委托人由此发生的费用。</w:t>
      </w:r>
    </w:p>
    <w:p>
      <w:pPr>
        <w:snapToGrid w:val="0"/>
        <w:spacing w:line="360" w:lineRule="auto"/>
        <w:ind w:firstLine="240" w:firstLineChars="100"/>
        <w:rPr>
          <w:rFonts w:ascii="宋体" w:hAnsi="宋体"/>
          <w:sz w:val="24"/>
          <w:szCs w:val="24"/>
        </w:rPr>
      </w:pPr>
      <w:r>
        <w:rPr>
          <w:rFonts w:hint="eastAsia" w:ascii="宋体" w:hAnsi="宋体"/>
          <w:sz w:val="24"/>
          <w:szCs w:val="24"/>
        </w:rPr>
        <w:t>4.2 委托人的违约责任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委托人未履行本合同义务的，应承担相应的责任。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4.2.1 委托人违反本合同约定造成监理人损失的，委托人应予以赔偿。</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4.2.2 委托人向监理人的索赔不成立时，应赔偿监理人由此引起的费用。</w:t>
      </w:r>
    </w:p>
    <w:p>
      <w:pPr>
        <w:spacing w:line="360" w:lineRule="auto"/>
        <w:ind w:firstLine="240" w:firstLineChars="100"/>
        <w:rPr>
          <w:rFonts w:ascii="宋体" w:hAnsi="宋体"/>
          <w:sz w:val="24"/>
          <w:szCs w:val="24"/>
        </w:rPr>
      </w:pPr>
      <w:r>
        <w:rPr>
          <w:rFonts w:hint="eastAsia" w:ascii="宋体" w:hAnsi="宋体"/>
          <w:sz w:val="24"/>
          <w:szCs w:val="24"/>
        </w:rPr>
        <w:t>4.2.3 委托人未能按期支付酬金超过28天，应按专用条件约定支付逾期付款利息。</w:t>
      </w:r>
    </w:p>
    <w:p>
      <w:pPr>
        <w:spacing w:line="360" w:lineRule="auto"/>
        <w:ind w:firstLine="240" w:firstLineChars="100"/>
        <w:rPr>
          <w:rFonts w:ascii="宋体" w:hAnsi="宋体"/>
          <w:sz w:val="24"/>
          <w:szCs w:val="24"/>
        </w:rPr>
      </w:pPr>
      <w:r>
        <w:rPr>
          <w:rFonts w:hint="eastAsia" w:ascii="宋体" w:hAnsi="宋体"/>
          <w:sz w:val="24"/>
          <w:szCs w:val="24"/>
        </w:rPr>
        <w:t>4.3 除外责任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因非监理人的原因，且监理人无过错，发生工程质量事故、安全事故、工期延误等造成的损失，监理人不承担赔偿责任。</w:t>
      </w:r>
    </w:p>
    <w:p>
      <w:pPr>
        <w:snapToGrid w:val="0"/>
        <w:spacing w:line="360" w:lineRule="auto"/>
        <w:ind w:firstLine="240" w:firstLineChars="100"/>
        <w:rPr>
          <w:rFonts w:ascii="宋体" w:hAnsi="宋体"/>
          <w:sz w:val="24"/>
          <w:szCs w:val="24"/>
        </w:rPr>
      </w:pPr>
      <w:r>
        <w:rPr>
          <w:rFonts w:hint="eastAsia" w:ascii="宋体" w:hAnsi="宋体"/>
          <w:sz w:val="24"/>
          <w:szCs w:val="24"/>
        </w:rPr>
        <w:t>因不可抗力导致本合同全部或部分不能履行时，双方各自承担其因此而造成的损失、损害。</w:t>
      </w:r>
    </w:p>
    <w:p>
      <w:pPr>
        <w:snapToGrid w:val="0"/>
        <w:spacing w:line="360" w:lineRule="auto"/>
        <w:rPr>
          <w:rFonts w:ascii="宋体" w:hAnsi="宋体"/>
          <w:sz w:val="24"/>
          <w:szCs w:val="24"/>
        </w:rPr>
      </w:pPr>
      <w:r>
        <w:rPr>
          <w:rFonts w:hint="eastAsia" w:ascii="宋体" w:hAnsi="宋体"/>
          <w:sz w:val="24"/>
          <w:szCs w:val="24"/>
        </w:rPr>
        <w:t>5. 支付</w:t>
      </w:r>
    </w:p>
    <w:p>
      <w:pPr>
        <w:snapToGrid w:val="0"/>
        <w:spacing w:line="360" w:lineRule="auto"/>
        <w:ind w:left="210" w:leftChars="100"/>
        <w:rPr>
          <w:rFonts w:ascii="宋体" w:hAnsi="宋体"/>
          <w:sz w:val="24"/>
          <w:szCs w:val="24"/>
        </w:rPr>
      </w:pPr>
      <w:r>
        <w:rPr>
          <w:rFonts w:hint="eastAsia" w:ascii="宋体" w:hAnsi="宋体"/>
          <w:sz w:val="24"/>
          <w:szCs w:val="24"/>
        </w:rPr>
        <w:t>5.1 支付货币</w:t>
      </w:r>
    </w:p>
    <w:p>
      <w:pPr>
        <w:snapToGrid w:val="0"/>
        <w:spacing w:line="360" w:lineRule="auto"/>
        <w:ind w:firstLine="240" w:firstLineChars="100"/>
        <w:rPr>
          <w:rFonts w:ascii="宋体" w:hAnsi="宋体"/>
          <w:sz w:val="24"/>
          <w:szCs w:val="24"/>
        </w:rPr>
      </w:pPr>
      <w:r>
        <w:rPr>
          <w:rFonts w:hint="eastAsia" w:ascii="宋体" w:hAnsi="宋体"/>
          <w:sz w:val="24"/>
          <w:szCs w:val="24"/>
        </w:rPr>
        <w:t>除专用条件另有约定外，酬金均以人民币支付。</w:t>
      </w:r>
    </w:p>
    <w:p>
      <w:pPr>
        <w:snapToGrid w:val="0"/>
        <w:spacing w:line="360" w:lineRule="auto"/>
        <w:ind w:firstLine="240" w:firstLineChars="100"/>
        <w:rPr>
          <w:rFonts w:ascii="宋体" w:hAnsi="宋体"/>
          <w:sz w:val="24"/>
          <w:szCs w:val="24"/>
        </w:rPr>
      </w:pPr>
      <w:r>
        <w:rPr>
          <w:rFonts w:hint="eastAsia" w:ascii="宋体" w:hAnsi="宋体"/>
          <w:sz w:val="24"/>
          <w:szCs w:val="24"/>
        </w:rPr>
        <w:t>5.2 支付申请</w:t>
      </w:r>
    </w:p>
    <w:p>
      <w:pPr>
        <w:snapToGrid w:val="0"/>
        <w:spacing w:line="360" w:lineRule="auto"/>
        <w:ind w:firstLine="240" w:firstLineChars="100"/>
        <w:rPr>
          <w:rFonts w:ascii="宋体" w:hAnsi="宋体"/>
          <w:sz w:val="24"/>
          <w:szCs w:val="24"/>
        </w:rPr>
      </w:pPr>
      <w:r>
        <w:rPr>
          <w:rFonts w:hint="eastAsia" w:ascii="宋体" w:hAnsi="宋体"/>
          <w:sz w:val="24"/>
          <w:szCs w:val="24"/>
        </w:rPr>
        <w:t>监理人应在本合同约定的每次应付款时间的7天前，向委托人提交支付申请书。支付申请书应当说明当期应付款总额，并列出当期应支付的款项及其金额。</w:t>
      </w:r>
    </w:p>
    <w:p>
      <w:pPr>
        <w:snapToGrid w:val="0"/>
        <w:spacing w:line="360" w:lineRule="auto"/>
        <w:ind w:firstLine="240" w:firstLineChars="100"/>
        <w:rPr>
          <w:rFonts w:ascii="宋体" w:hAnsi="宋体"/>
          <w:sz w:val="24"/>
          <w:szCs w:val="24"/>
        </w:rPr>
      </w:pPr>
      <w:r>
        <w:rPr>
          <w:rFonts w:hint="eastAsia" w:ascii="宋体" w:hAnsi="宋体"/>
          <w:sz w:val="24"/>
          <w:szCs w:val="24"/>
        </w:rPr>
        <w:t>5.3 支付酬金</w:t>
      </w:r>
    </w:p>
    <w:p>
      <w:pPr>
        <w:snapToGrid w:val="0"/>
        <w:spacing w:line="360" w:lineRule="auto"/>
        <w:ind w:firstLine="240" w:firstLineChars="100"/>
        <w:rPr>
          <w:rFonts w:ascii="宋体" w:hAnsi="宋体"/>
          <w:sz w:val="24"/>
          <w:szCs w:val="24"/>
        </w:rPr>
      </w:pPr>
      <w:r>
        <w:rPr>
          <w:rFonts w:hint="eastAsia" w:ascii="宋体" w:hAnsi="宋体"/>
          <w:sz w:val="24"/>
          <w:szCs w:val="24"/>
        </w:rPr>
        <w:t>支付的酬金包括正常工作酬金、附加工作酬金、合理化建议奖励金额及费用。</w:t>
      </w:r>
    </w:p>
    <w:p>
      <w:pPr>
        <w:snapToGrid w:val="0"/>
        <w:spacing w:line="360" w:lineRule="auto"/>
        <w:ind w:firstLine="240" w:firstLineChars="100"/>
        <w:rPr>
          <w:rFonts w:ascii="宋体" w:hAnsi="宋体"/>
          <w:sz w:val="24"/>
          <w:szCs w:val="24"/>
        </w:rPr>
      </w:pPr>
      <w:r>
        <w:rPr>
          <w:rFonts w:hint="eastAsia" w:ascii="宋体" w:hAnsi="宋体"/>
          <w:sz w:val="24"/>
          <w:szCs w:val="24"/>
        </w:rPr>
        <w:t>5.4 有争议部分的付款</w:t>
      </w:r>
    </w:p>
    <w:p>
      <w:pPr>
        <w:snapToGrid w:val="0"/>
        <w:spacing w:line="360" w:lineRule="auto"/>
        <w:ind w:firstLine="240" w:firstLineChars="100"/>
        <w:rPr>
          <w:rFonts w:ascii="宋体" w:hAnsi="宋体"/>
          <w:sz w:val="24"/>
          <w:szCs w:val="24"/>
        </w:rPr>
      </w:pPr>
      <w:r>
        <w:rPr>
          <w:rFonts w:hint="eastAsia" w:ascii="宋体" w:hAnsi="宋体"/>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ascii="宋体" w:hAnsi="宋体"/>
          <w:sz w:val="24"/>
          <w:szCs w:val="24"/>
        </w:rPr>
      </w:pPr>
      <w:r>
        <w:rPr>
          <w:rFonts w:hint="eastAsia" w:ascii="宋体" w:hAnsi="宋体"/>
          <w:sz w:val="24"/>
          <w:szCs w:val="24"/>
        </w:rPr>
        <w:t>6. 合同生效、变更、暂停、解除与终止</w:t>
      </w:r>
    </w:p>
    <w:p>
      <w:pPr>
        <w:spacing w:line="360" w:lineRule="auto"/>
        <w:ind w:firstLine="240" w:firstLineChars="100"/>
        <w:rPr>
          <w:rFonts w:ascii="宋体" w:hAnsi="宋体"/>
          <w:sz w:val="24"/>
          <w:szCs w:val="24"/>
        </w:rPr>
      </w:pPr>
      <w:r>
        <w:rPr>
          <w:rFonts w:hint="eastAsia" w:ascii="宋体" w:hAnsi="宋体"/>
          <w:sz w:val="24"/>
          <w:szCs w:val="24"/>
        </w:rPr>
        <w:t>6.1生效</w:t>
      </w:r>
    </w:p>
    <w:p>
      <w:pPr>
        <w:spacing w:line="360" w:lineRule="auto"/>
        <w:ind w:firstLine="240" w:firstLineChars="100"/>
        <w:rPr>
          <w:rFonts w:ascii="宋体" w:hAnsi="宋体"/>
          <w:sz w:val="24"/>
          <w:szCs w:val="24"/>
        </w:rPr>
      </w:pPr>
      <w:r>
        <w:rPr>
          <w:rFonts w:hint="eastAsia" w:ascii="宋体" w:hAnsi="宋体"/>
          <w:sz w:val="24"/>
          <w:szCs w:val="24"/>
        </w:rPr>
        <w:t>除法律另有规定或者专用条件另有约定外，委托人和监理人的法定代表人或其授权代理人在协议书上签字并盖单位章后本合同生效。</w:t>
      </w:r>
    </w:p>
    <w:p>
      <w:pPr>
        <w:snapToGrid w:val="0"/>
        <w:spacing w:line="360" w:lineRule="auto"/>
        <w:rPr>
          <w:rFonts w:ascii="宋体" w:hAnsi="宋体"/>
          <w:sz w:val="24"/>
          <w:szCs w:val="24"/>
        </w:rPr>
      </w:pPr>
      <w:r>
        <w:rPr>
          <w:rFonts w:hint="eastAsia" w:ascii="宋体" w:hAnsi="宋体"/>
          <w:sz w:val="24"/>
          <w:szCs w:val="24"/>
        </w:rPr>
        <w:t>6.2变更</w:t>
      </w:r>
    </w:p>
    <w:p>
      <w:pPr>
        <w:snapToGrid w:val="0"/>
        <w:spacing w:line="360" w:lineRule="auto"/>
        <w:ind w:firstLine="240" w:firstLineChars="100"/>
        <w:rPr>
          <w:rFonts w:ascii="宋体" w:hAnsi="宋体"/>
          <w:sz w:val="24"/>
          <w:szCs w:val="24"/>
        </w:rPr>
      </w:pPr>
      <w:r>
        <w:rPr>
          <w:rFonts w:hint="eastAsia" w:ascii="宋体" w:hAnsi="宋体"/>
          <w:sz w:val="24"/>
          <w:szCs w:val="24"/>
        </w:rPr>
        <w:t>6.2.1 任何一方提出变更请求时，双方经协商一致后可进行变更。</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240" w:firstLineChars="100"/>
        <w:rPr>
          <w:rFonts w:ascii="宋体" w:hAnsi="宋体"/>
          <w:sz w:val="24"/>
          <w:szCs w:val="24"/>
        </w:rPr>
      </w:pPr>
      <w:r>
        <w:rPr>
          <w:rFonts w:hint="eastAsia" w:ascii="宋体" w:hAnsi="宋体"/>
          <w:sz w:val="24"/>
          <w:szCs w:val="24"/>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6.2.5 因非监理人原因造成工程概算投资额或建筑安装工程费增加时，正常工作酬金应作相应调整。调整方法在专用条件中约定。</w:t>
      </w:r>
    </w:p>
    <w:p>
      <w:pPr>
        <w:snapToGrid w:val="0"/>
        <w:spacing w:line="360" w:lineRule="auto"/>
        <w:ind w:firstLine="240" w:firstLineChars="100"/>
        <w:rPr>
          <w:rFonts w:ascii="宋体" w:hAnsi="宋体"/>
          <w:sz w:val="24"/>
          <w:szCs w:val="24"/>
        </w:rPr>
      </w:pPr>
      <w:r>
        <w:rPr>
          <w:rFonts w:hint="eastAsia" w:ascii="宋体" w:hAnsi="宋体"/>
          <w:sz w:val="24"/>
          <w:szCs w:val="24"/>
        </w:rPr>
        <w:t>6.2.6 因工程规模、监理范围的变化导致监理人的正常工作量减少时，正常工作酬金应作相应调整。调整方法在专用条件中约定。</w:t>
      </w:r>
    </w:p>
    <w:p>
      <w:pPr>
        <w:snapToGrid w:val="0"/>
        <w:spacing w:line="360" w:lineRule="auto"/>
        <w:ind w:firstLine="240" w:firstLineChars="100"/>
        <w:rPr>
          <w:rFonts w:ascii="宋体" w:hAnsi="宋体"/>
          <w:sz w:val="24"/>
          <w:szCs w:val="24"/>
        </w:rPr>
      </w:pPr>
      <w:r>
        <w:rPr>
          <w:rFonts w:hint="eastAsia" w:ascii="宋体" w:hAnsi="宋体"/>
          <w:sz w:val="24"/>
          <w:szCs w:val="24"/>
        </w:rPr>
        <w:t>6.3 暂停与解除</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解除本合同的协议必须采取书面形式，协议未达成之前，本合同仍然有效。</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240" w:firstLineChars="100"/>
        <w:rPr>
          <w:rFonts w:ascii="宋体" w:hAnsi="宋体"/>
          <w:sz w:val="24"/>
          <w:szCs w:val="24"/>
        </w:rPr>
      </w:pPr>
      <w:r>
        <w:rPr>
          <w:rFonts w:hint="eastAsia" w:ascii="宋体" w:hAnsi="宋体"/>
          <w:sz w:val="24"/>
          <w:szCs w:val="24"/>
        </w:rPr>
        <w:t>6.3.5 因不可抗力致使本合同部分或全部不能履行时，一方应立即通知另一方，可暂停或解除本合同。</w:t>
      </w:r>
    </w:p>
    <w:p>
      <w:pPr>
        <w:snapToGrid w:val="0"/>
        <w:spacing w:line="360" w:lineRule="auto"/>
        <w:ind w:firstLine="240" w:firstLineChars="100"/>
        <w:rPr>
          <w:rFonts w:ascii="宋体" w:hAnsi="宋体"/>
          <w:sz w:val="24"/>
          <w:szCs w:val="24"/>
        </w:rPr>
      </w:pPr>
      <w:r>
        <w:rPr>
          <w:rFonts w:hint="eastAsia" w:ascii="宋体" w:hAnsi="宋体"/>
          <w:sz w:val="24"/>
          <w:szCs w:val="24"/>
        </w:rPr>
        <w:t>6.3.6 本合同解除后，本合同约定的有关结算、清理、争议解决方式的条件仍然有效。</w:t>
      </w:r>
    </w:p>
    <w:p>
      <w:pPr>
        <w:snapToGrid w:val="0"/>
        <w:spacing w:line="360" w:lineRule="auto"/>
        <w:ind w:left="210" w:leftChars="100"/>
        <w:rPr>
          <w:rFonts w:ascii="宋体" w:hAnsi="宋体"/>
          <w:sz w:val="24"/>
          <w:szCs w:val="24"/>
        </w:rPr>
      </w:pPr>
      <w:r>
        <w:rPr>
          <w:rFonts w:hint="eastAsia" w:ascii="宋体" w:hAnsi="宋体"/>
          <w:sz w:val="24"/>
          <w:szCs w:val="24"/>
        </w:rPr>
        <w:t>6.4 终止</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以下条件全部满足时，本合同即告终止：</w:t>
      </w:r>
    </w:p>
    <w:p>
      <w:pPr>
        <w:adjustRightInd w:val="0"/>
        <w:snapToGrid w:val="0"/>
        <w:spacing w:line="360" w:lineRule="auto"/>
        <w:ind w:firstLine="240" w:firstLineChars="100"/>
        <w:rPr>
          <w:rFonts w:ascii="宋体" w:hAnsi="宋体"/>
          <w:sz w:val="24"/>
          <w:szCs w:val="24"/>
        </w:rPr>
      </w:pPr>
      <w:r>
        <w:rPr>
          <w:rFonts w:hint="eastAsia" w:ascii="宋体" w:hAnsi="宋体"/>
          <w:sz w:val="24"/>
          <w:szCs w:val="24"/>
        </w:rPr>
        <w:t>（1）监理人完成本合同约定的全部工作；</w:t>
      </w:r>
    </w:p>
    <w:p>
      <w:pPr>
        <w:snapToGrid w:val="0"/>
        <w:spacing w:line="360" w:lineRule="auto"/>
        <w:ind w:firstLine="240" w:firstLineChars="100"/>
        <w:rPr>
          <w:rFonts w:ascii="宋体" w:hAnsi="宋体"/>
          <w:sz w:val="24"/>
          <w:szCs w:val="24"/>
        </w:rPr>
      </w:pPr>
      <w:r>
        <w:rPr>
          <w:rFonts w:hint="eastAsia" w:ascii="宋体" w:hAnsi="宋体"/>
          <w:sz w:val="24"/>
          <w:szCs w:val="24"/>
        </w:rPr>
        <w:t>（2）委托人与监理人结清并支付全部酬金。</w:t>
      </w:r>
    </w:p>
    <w:p>
      <w:pPr>
        <w:snapToGrid w:val="0"/>
        <w:spacing w:line="360" w:lineRule="auto"/>
        <w:rPr>
          <w:rFonts w:ascii="宋体" w:hAnsi="宋体"/>
          <w:sz w:val="24"/>
          <w:szCs w:val="24"/>
        </w:rPr>
      </w:pPr>
      <w:r>
        <w:rPr>
          <w:rFonts w:hint="eastAsia" w:ascii="宋体" w:hAnsi="宋体"/>
          <w:sz w:val="24"/>
          <w:szCs w:val="24"/>
        </w:rPr>
        <w:t>7. 争议解决</w:t>
      </w:r>
    </w:p>
    <w:p>
      <w:pPr>
        <w:snapToGrid w:val="0"/>
        <w:spacing w:line="360" w:lineRule="auto"/>
        <w:ind w:left="210" w:leftChars="100"/>
        <w:rPr>
          <w:rFonts w:ascii="宋体" w:hAnsi="宋体"/>
          <w:sz w:val="24"/>
          <w:szCs w:val="24"/>
        </w:rPr>
      </w:pPr>
      <w:r>
        <w:rPr>
          <w:rFonts w:hint="eastAsia" w:ascii="宋体" w:hAnsi="宋体"/>
          <w:sz w:val="24"/>
          <w:szCs w:val="24"/>
        </w:rPr>
        <w:t>7.1协商</w:t>
      </w:r>
    </w:p>
    <w:p>
      <w:pPr>
        <w:snapToGrid w:val="0"/>
        <w:spacing w:line="360" w:lineRule="auto"/>
        <w:ind w:firstLine="240" w:firstLineChars="100"/>
        <w:rPr>
          <w:rFonts w:ascii="宋体" w:hAnsi="宋体"/>
          <w:sz w:val="24"/>
          <w:szCs w:val="24"/>
        </w:rPr>
      </w:pPr>
      <w:r>
        <w:rPr>
          <w:rFonts w:hint="eastAsia" w:ascii="宋体" w:hAnsi="宋体"/>
          <w:sz w:val="24"/>
          <w:szCs w:val="24"/>
        </w:rPr>
        <w:t>双方应本着诚信原则协商解决彼此间的争议。</w:t>
      </w:r>
    </w:p>
    <w:p>
      <w:pPr>
        <w:snapToGrid w:val="0"/>
        <w:spacing w:line="360" w:lineRule="auto"/>
        <w:ind w:left="210" w:leftChars="100"/>
        <w:rPr>
          <w:rFonts w:ascii="宋体" w:hAnsi="宋体"/>
          <w:sz w:val="24"/>
          <w:szCs w:val="24"/>
        </w:rPr>
      </w:pPr>
      <w:r>
        <w:rPr>
          <w:rFonts w:hint="eastAsia" w:ascii="宋体" w:hAnsi="宋体"/>
          <w:sz w:val="24"/>
          <w:szCs w:val="24"/>
        </w:rPr>
        <w:t>7.2调解</w:t>
      </w:r>
    </w:p>
    <w:p>
      <w:pPr>
        <w:snapToGrid w:val="0"/>
        <w:spacing w:line="360" w:lineRule="auto"/>
        <w:ind w:firstLine="480" w:firstLineChars="200"/>
        <w:rPr>
          <w:rFonts w:ascii="宋体" w:hAnsi="宋体"/>
          <w:sz w:val="24"/>
          <w:szCs w:val="24"/>
        </w:rPr>
      </w:pPr>
      <w:r>
        <w:rPr>
          <w:rFonts w:hint="eastAsia" w:ascii="宋体" w:hAnsi="宋体"/>
          <w:sz w:val="24"/>
          <w:szCs w:val="24"/>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ascii="宋体" w:hAnsi="宋体"/>
          <w:sz w:val="24"/>
          <w:szCs w:val="24"/>
        </w:rPr>
      </w:pPr>
      <w:r>
        <w:rPr>
          <w:rFonts w:hint="eastAsia" w:ascii="宋体" w:hAnsi="宋体"/>
          <w:sz w:val="24"/>
          <w:szCs w:val="24"/>
        </w:rPr>
        <w:t>7.3仲裁或诉讼</w:t>
      </w:r>
    </w:p>
    <w:p>
      <w:pPr>
        <w:snapToGrid w:val="0"/>
        <w:spacing w:line="360" w:lineRule="auto"/>
        <w:ind w:firstLine="240" w:firstLineChars="100"/>
        <w:rPr>
          <w:rFonts w:ascii="宋体" w:hAnsi="宋体"/>
          <w:sz w:val="24"/>
          <w:szCs w:val="24"/>
        </w:rPr>
      </w:pPr>
      <w:r>
        <w:rPr>
          <w:rFonts w:hint="eastAsia" w:ascii="宋体" w:hAnsi="宋体"/>
          <w:sz w:val="24"/>
          <w:szCs w:val="24"/>
        </w:rPr>
        <w:t>双方均有权不经调解直接向专用条件约定的仲裁机构申请仲裁或向有管辖权的人民法院提起诉讼。</w:t>
      </w:r>
    </w:p>
    <w:p>
      <w:pPr>
        <w:snapToGrid w:val="0"/>
        <w:spacing w:line="360" w:lineRule="auto"/>
        <w:rPr>
          <w:rFonts w:ascii="宋体" w:hAnsi="宋体"/>
          <w:sz w:val="24"/>
          <w:szCs w:val="24"/>
        </w:rPr>
      </w:pPr>
      <w:r>
        <w:rPr>
          <w:rFonts w:hint="eastAsia" w:ascii="宋体" w:hAnsi="宋体"/>
          <w:sz w:val="24"/>
          <w:szCs w:val="24"/>
        </w:rPr>
        <w:t>8. 其他</w:t>
      </w:r>
    </w:p>
    <w:p>
      <w:pPr>
        <w:spacing w:line="360" w:lineRule="auto"/>
        <w:ind w:left="210" w:leftChars="100"/>
        <w:rPr>
          <w:rFonts w:ascii="宋体" w:hAnsi="宋体"/>
          <w:sz w:val="24"/>
          <w:szCs w:val="24"/>
        </w:rPr>
      </w:pPr>
      <w:r>
        <w:rPr>
          <w:rFonts w:hint="eastAsia" w:ascii="宋体" w:hAnsi="宋体"/>
          <w:sz w:val="24"/>
          <w:szCs w:val="24"/>
        </w:rPr>
        <w:t>8.1 守法诚信</w:t>
      </w:r>
    </w:p>
    <w:p>
      <w:pPr>
        <w:snapToGrid w:val="0"/>
        <w:spacing w:line="360" w:lineRule="auto"/>
        <w:ind w:firstLine="240" w:firstLineChars="100"/>
        <w:rPr>
          <w:rFonts w:ascii="宋体" w:hAnsi="宋体"/>
          <w:sz w:val="24"/>
          <w:szCs w:val="24"/>
        </w:rPr>
      </w:pPr>
      <w:r>
        <w:rPr>
          <w:rFonts w:hint="eastAsia" w:ascii="宋体" w:hAnsi="宋体"/>
          <w:sz w:val="24"/>
          <w:szCs w:val="24"/>
        </w:rPr>
        <w:t>监理人及其工作人员不得从与实施工程有关的第三方处获得任何经济利益。</w:t>
      </w:r>
    </w:p>
    <w:p>
      <w:pPr>
        <w:snapToGrid w:val="0"/>
        <w:spacing w:line="360" w:lineRule="auto"/>
        <w:ind w:firstLine="240" w:firstLineChars="100"/>
        <w:rPr>
          <w:rFonts w:ascii="宋体" w:hAnsi="宋体"/>
          <w:sz w:val="24"/>
          <w:szCs w:val="24"/>
        </w:rPr>
      </w:pPr>
    </w:p>
    <w:p>
      <w:pPr>
        <w:snapToGrid w:val="0"/>
        <w:spacing w:line="360" w:lineRule="auto"/>
        <w:ind w:firstLine="240" w:firstLineChars="100"/>
        <w:rPr>
          <w:rFonts w:ascii="宋体" w:hAnsi="宋体"/>
          <w:sz w:val="24"/>
          <w:szCs w:val="24"/>
        </w:rPr>
      </w:pPr>
    </w:p>
    <w:p>
      <w:pPr>
        <w:pageBreakBefore/>
        <w:spacing w:line="500" w:lineRule="exact"/>
        <w:jc w:val="center"/>
        <w:rPr>
          <w:rFonts w:ascii="宋体" w:hAnsi="宋体"/>
          <w:sz w:val="24"/>
          <w:szCs w:val="24"/>
        </w:rPr>
      </w:pPr>
      <w:r>
        <w:rPr>
          <w:rFonts w:hint="eastAsia" w:ascii="宋体" w:hAnsi="宋体"/>
          <w:sz w:val="24"/>
          <w:szCs w:val="24"/>
        </w:rPr>
        <w:t>第三部分  专用条件</w:t>
      </w:r>
    </w:p>
    <w:p>
      <w:pPr>
        <w:spacing w:line="500" w:lineRule="exact"/>
        <w:jc w:val="center"/>
        <w:rPr>
          <w:rFonts w:ascii="宋体" w:hAnsi="宋体"/>
          <w:sz w:val="24"/>
          <w:szCs w:val="24"/>
        </w:rPr>
      </w:pPr>
    </w:p>
    <w:p>
      <w:pPr>
        <w:adjustRightInd w:val="0"/>
        <w:snapToGrid w:val="0"/>
        <w:spacing w:line="500" w:lineRule="exact"/>
        <w:rPr>
          <w:rFonts w:ascii="宋体" w:hAnsi="宋体"/>
          <w:sz w:val="24"/>
          <w:szCs w:val="24"/>
        </w:rPr>
      </w:pPr>
      <w:r>
        <w:rPr>
          <w:rFonts w:hint="eastAsia" w:ascii="宋体" w:hAnsi="宋体"/>
          <w:sz w:val="24"/>
          <w:szCs w:val="24"/>
        </w:rPr>
        <w:t>1. 定义与解释</w:t>
      </w:r>
    </w:p>
    <w:p>
      <w:pPr>
        <w:adjustRightInd w:val="0"/>
        <w:snapToGrid w:val="0"/>
        <w:spacing w:line="500" w:lineRule="exact"/>
        <w:rPr>
          <w:rFonts w:ascii="宋体" w:hAnsi="宋体"/>
          <w:sz w:val="24"/>
          <w:szCs w:val="24"/>
        </w:rPr>
      </w:pPr>
      <w:r>
        <w:rPr>
          <w:rFonts w:hint="eastAsia" w:ascii="宋体" w:hAnsi="宋体"/>
          <w:sz w:val="24"/>
          <w:szCs w:val="24"/>
        </w:rPr>
        <w:t xml:space="preserve"> 1.2  解释</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1.2.1 本合同文件使用中文。</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1.2.2 约定本合同文件的解释顺序为：执行通用条件1.2.2条。</w:t>
      </w:r>
    </w:p>
    <w:p>
      <w:pPr>
        <w:adjustRightInd w:val="0"/>
        <w:snapToGrid w:val="0"/>
        <w:spacing w:line="500" w:lineRule="exact"/>
        <w:rPr>
          <w:rFonts w:ascii="宋体" w:hAnsi="宋体"/>
          <w:sz w:val="24"/>
          <w:szCs w:val="24"/>
        </w:rPr>
      </w:pPr>
      <w:r>
        <w:rPr>
          <w:rFonts w:hint="eastAsia" w:ascii="宋体" w:hAnsi="宋体"/>
          <w:sz w:val="24"/>
          <w:szCs w:val="24"/>
        </w:rPr>
        <w:t>2. 监理人义务</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2.1 监理的范围和内容</w:t>
      </w:r>
    </w:p>
    <w:p>
      <w:pPr>
        <w:snapToGrid w:val="0"/>
        <w:spacing w:line="500" w:lineRule="exact"/>
        <w:ind w:firstLine="120" w:firstLineChars="50"/>
        <w:rPr>
          <w:rFonts w:ascii="宋体" w:hAnsi="宋体" w:cs="宋体"/>
          <w:color w:val="000000"/>
          <w:kern w:val="0"/>
          <w:sz w:val="24"/>
          <w:szCs w:val="24"/>
        </w:rPr>
      </w:pPr>
      <w:r>
        <w:rPr>
          <w:rFonts w:hint="eastAsia" w:ascii="宋体" w:hAnsi="宋体"/>
          <w:sz w:val="24"/>
          <w:szCs w:val="24"/>
        </w:rPr>
        <w:t>2.1.1 监理范围包括：</w:t>
      </w:r>
      <w:r>
        <w:rPr>
          <w:rFonts w:hint="eastAsia" w:ascii="宋体" w:hAnsi="宋体" w:cs="宋体"/>
          <w:color w:val="000000"/>
          <w:kern w:val="0"/>
          <w:sz w:val="24"/>
          <w:szCs w:val="24"/>
        </w:rPr>
        <w:t>危废处置中心技改项目施工全过程监理。包括安全文明、质量、进度、投资控制、合同信息管理及组织协调工作。</w:t>
      </w:r>
    </w:p>
    <w:p>
      <w:pPr>
        <w:snapToGrid w:val="0"/>
        <w:spacing w:line="500" w:lineRule="exact"/>
        <w:ind w:firstLine="120" w:firstLineChars="50"/>
        <w:rPr>
          <w:rFonts w:ascii="宋体" w:hAnsi="宋体"/>
          <w:sz w:val="24"/>
          <w:szCs w:val="24"/>
        </w:rPr>
      </w:pPr>
      <w:r>
        <w:rPr>
          <w:rFonts w:hint="eastAsia" w:ascii="宋体" w:hAnsi="宋体"/>
          <w:sz w:val="24"/>
          <w:szCs w:val="24"/>
        </w:rPr>
        <w:t>2.1.2 监理工作内容包括：监理人全面负责完成监理范围内的建筑物、构筑物及相关配套的施工监理任务，包括但不限于：</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）土建工程：包括土石方、基坑围护、基坑降水、围护结构、地下基础及地上结构。</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 安装工程：包括建筑物内的消防、给排水、供电、电气、防雷、通风、采暖、弱电、动力、智能化等。</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 装饰工程：包括内外粉刷，建筑装修等。</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 室外工程：包括围墙、道路、路灯、铺装、地下管网等。</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）配套工程：项目范围内的所有配套工程等。</w:t>
      </w:r>
    </w:p>
    <w:p>
      <w:pPr>
        <w:spacing w:line="500" w:lineRule="exact"/>
        <w:ind w:firstLine="120" w:firstLineChars="50"/>
        <w:rPr>
          <w:rFonts w:ascii="宋体" w:hAnsi="宋体"/>
          <w:sz w:val="24"/>
          <w:szCs w:val="24"/>
        </w:rPr>
      </w:pPr>
      <w:r>
        <w:rPr>
          <w:rFonts w:hint="eastAsia" w:ascii="宋体" w:hAnsi="宋体"/>
          <w:sz w:val="24"/>
          <w:szCs w:val="24"/>
        </w:rPr>
        <w:t>监理工作内容如下：</w:t>
      </w:r>
    </w:p>
    <w:p>
      <w:pPr>
        <w:spacing w:line="500" w:lineRule="exact"/>
        <w:ind w:firstLine="120" w:firstLineChars="50"/>
        <w:rPr>
          <w:rFonts w:ascii="宋体" w:hAnsi="宋体"/>
          <w:sz w:val="24"/>
          <w:szCs w:val="24"/>
        </w:rPr>
      </w:pPr>
      <w:r>
        <w:rPr>
          <w:rFonts w:hint="eastAsia" w:ascii="宋体" w:hAnsi="宋体"/>
          <w:sz w:val="24"/>
          <w:szCs w:val="24"/>
        </w:rPr>
        <w:t>（1）协助委托人审核施工图纸，做好开工准备工作；</w:t>
      </w:r>
    </w:p>
    <w:p>
      <w:pPr>
        <w:spacing w:line="500" w:lineRule="exact"/>
        <w:ind w:firstLine="120" w:firstLineChars="5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）协助委托人办理开工审批手续，审查开工报告并经委托人同意后签署开工令；</w:t>
      </w:r>
    </w:p>
    <w:p>
      <w:pPr>
        <w:spacing w:line="500" w:lineRule="exact"/>
        <w:ind w:firstLine="120" w:firstLineChars="50"/>
        <w:rPr>
          <w:rFonts w:ascii="宋体" w:hAnsi="宋体"/>
          <w:sz w:val="24"/>
          <w:szCs w:val="24"/>
        </w:rPr>
      </w:pPr>
      <w:r>
        <w:rPr>
          <w:rFonts w:hint="eastAsia" w:ascii="宋体" w:hAnsi="宋体"/>
          <w:sz w:val="24"/>
          <w:szCs w:val="24"/>
        </w:rPr>
        <w:t>（3）审核承包人提出的分包工程项目及分包人的资格，确认分包人。</w:t>
      </w:r>
    </w:p>
    <w:p>
      <w:pPr>
        <w:spacing w:line="500" w:lineRule="exact"/>
        <w:ind w:firstLine="120" w:firstLineChars="50"/>
        <w:rPr>
          <w:rFonts w:ascii="宋体" w:hAnsi="宋体"/>
          <w:sz w:val="24"/>
          <w:szCs w:val="24"/>
        </w:rPr>
      </w:pPr>
      <w:r>
        <w:rPr>
          <w:rFonts w:hint="eastAsia" w:ascii="宋体" w:hAnsi="宋体"/>
          <w:sz w:val="24"/>
          <w:szCs w:val="24"/>
        </w:rPr>
        <w:t>（4）协助委托人组织并参加设计交底及图纸会审；</w:t>
      </w:r>
    </w:p>
    <w:p>
      <w:pPr>
        <w:spacing w:line="500" w:lineRule="exact"/>
        <w:ind w:firstLine="120" w:firstLineChars="50"/>
        <w:rPr>
          <w:rFonts w:ascii="宋体" w:hAnsi="宋体"/>
          <w:sz w:val="24"/>
          <w:szCs w:val="24"/>
        </w:rPr>
      </w:pPr>
      <w:r>
        <w:rPr>
          <w:rFonts w:hint="eastAsia" w:ascii="宋体" w:hAnsi="宋体"/>
          <w:sz w:val="24"/>
          <w:szCs w:val="24"/>
        </w:rPr>
        <w:t>（5）审查承包人提交的施工组织设计、施工专项方案和施工进度计划，提出修改意见，并监督实施；</w:t>
      </w:r>
    </w:p>
    <w:p>
      <w:pPr>
        <w:spacing w:line="500" w:lineRule="exact"/>
        <w:ind w:firstLine="120" w:firstLineChars="50"/>
        <w:rPr>
          <w:rFonts w:ascii="宋体" w:hAnsi="宋体"/>
          <w:sz w:val="24"/>
          <w:szCs w:val="24"/>
        </w:rPr>
      </w:pPr>
      <w:r>
        <w:rPr>
          <w:rFonts w:hint="eastAsia" w:ascii="宋体" w:hAnsi="宋体"/>
          <w:sz w:val="24"/>
          <w:szCs w:val="24"/>
        </w:rPr>
        <w:t>（6）督促并检查承包人质量、安全、文明施工组织保证体系和施工管理制度的建立、健全与实施；就工程中发现的质量、安全等问题及时向委托人报告，并向承包人发出整改通知单并督促落实；</w:t>
      </w:r>
    </w:p>
    <w:p>
      <w:pPr>
        <w:spacing w:line="500" w:lineRule="exact"/>
        <w:ind w:firstLine="120" w:firstLineChars="50"/>
        <w:rPr>
          <w:rFonts w:ascii="宋体" w:hAnsi="宋体"/>
          <w:sz w:val="24"/>
          <w:szCs w:val="24"/>
        </w:rPr>
      </w:pPr>
    </w:p>
    <w:p>
      <w:pPr>
        <w:spacing w:line="500" w:lineRule="exact"/>
        <w:ind w:firstLine="120" w:firstLineChars="50"/>
        <w:rPr>
          <w:rFonts w:ascii="宋体" w:hAnsi="宋体"/>
          <w:sz w:val="24"/>
          <w:szCs w:val="24"/>
        </w:rPr>
      </w:pPr>
      <w:r>
        <w:rPr>
          <w:rFonts w:hint="eastAsia" w:ascii="宋体" w:hAnsi="宋体"/>
          <w:sz w:val="24"/>
          <w:szCs w:val="24"/>
        </w:rPr>
        <w:t>（7）审核承包人或委托人提供的材料和设备采购清单，检查工程使用材料、构配件、设备的规格、质量和数量，按有关规范要求进行必要的抽验和复检，防止不合格材料用于工程；</w:t>
      </w:r>
    </w:p>
    <w:p>
      <w:pPr>
        <w:spacing w:line="500" w:lineRule="exact"/>
        <w:ind w:firstLine="120" w:firstLineChars="50"/>
        <w:rPr>
          <w:rFonts w:ascii="宋体" w:hAnsi="宋体"/>
          <w:sz w:val="24"/>
          <w:szCs w:val="24"/>
        </w:rPr>
      </w:pPr>
      <w:r>
        <w:rPr>
          <w:rFonts w:hint="eastAsia" w:ascii="宋体" w:hAnsi="宋体"/>
          <w:sz w:val="24"/>
          <w:szCs w:val="24"/>
        </w:rPr>
        <w:t>（8）督促、检查承包人严格执行工程承包合同和严格按照国家技术规范、标准以及设计图纸文件要求进行施工；控制工程质量，严格执行监理旁站制度；</w:t>
      </w:r>
    </w:p>
    <w:p>
      <w:pPr>
        <w:spacing w:line="500" w:lineRule="exact"/>
        <w:ind w:firstLine="120" w:firstLineChars="50"/>
        <w:rPr>
          <w:rFonts w:ascii="宋体" w:hAnsi="宋体"/>
          <w:sz w:val="24"/>
          <w:szCs w:val="24"/>
        </w:rPr>
      </w:pPr>
      <w:r>
        <w:rPr>
          <w:rFonts w:hint="eastAsia" w:ascii="宋体" w:hAnsi="宋体"/>
          <w:sz w:val="24"/>
          <w:szCs w:val="24"/>
        </w:rPr>
        <w:t>（9）分阶段核验及协调施工进度计划，及时提出调整意见，控制工程进度；</w:t>
      </w:r>
    </w:p>
    <w:p>
      <w:pPr>
        <w:spacing w:line="500" w:lineRule="exact"/>
        <w:ind w:firstLine="120" w:firstLineChars="50"/>
        <w:rPr>
          <w:rFonts w:ascii="宋体" w:hAnsi="宋体"/>
          <w:sz w:val="24"/>
          <w:szCs w:val="24"/>
        </w:rPr>
      </w:pPr>
      <w:r>
        <w:rPr>
          <w:rFonts w:hint="eastAsia" w:ascii="宋体" w:hAnsi="宋体"/>
          <w:sz w:val="24"/>
          <w:szCs w:val="24"/>
        </w:rPr>
        <w:t>（10）组织分项分部工程和隐蔽工程的检查、验收；</w:t>
      </w:r>
    </w:p>
    <w:p>
      <w:pPr>
        <w:spacing w:line="500" w:lineRule="exact"/>
        <w:ind w:firstLine="120" w:firstLineChars="50"/>
        <w:rPr>
          <w:rFonts w:ascii="宋体" w:hAnsi="宋体"/>
          <w:sz w:val="24"/>
          <w:szCs w:val="24"/>
        </w:rPr>
      </w:pPr>
      <w:r>
        <w:rPr>
          <w:rFonts w:hint="eastAsia" w:ascii="宋体" w:hAnsi="宋体"/>
          <w:sz w:val="24"/>
          <w:szCs w:val="24"/>
        </w:rPr>
        <w:t>（11）根据施工承包合同条款的付款规定，对已完合格工程核验形象进度，并签发付款凭证，协助委托人做好工程成本控制工作；</w:t>
      </w:r>
    </w:p>
    <w:p>
      <w:pPr>
        <w:spacing w:line="500" w:lineRule="exact"/>
        <w:ind w:firstLine="120" w:firstLineChars="5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）负责施工现场联系单的初审，对于设计变更和技术洽商，提出相应的监理意见；</w:t>
      </w:r>
    </w:p>
    <w:p>
      <w:pPr>
        <w:spacing w:line="500" w:lineRule="exact"/>
        <w:ind w:firstLine="120" w:firstLineChars="50"/>
        <w:rPr>
          <w:rFonts w:ascii="宋体" w:hAnsi="宋体"/>
          <w:sz w:val="24"/>
          <w:szCs w:val="24"/>
        </w:rPr>
      </w:pPr>
      <w:r>
        <w:rPr>
          <w:rFonts w:hint="eastAsia" w:ascii="宋体" w:hAnsi="宋体"/>
          <w:sz w:val="24"/>
          <w:szCs w:val="24"/>
        </w:rPr>
        <w:t>（13）主持召开工程各类协调会议并编写会议纪要，调解工程建设中的有关争议，处理合同纠纷和索赔事项，并分析、审查工程出现的质量及安全事故，提出处理意见；</w:t>
      </w:r>
    </w:p>
    <w:p>
      <w:pPr>
        <w:spacing w:line="500" w:lineRule="exact"/>
        <w:ind w:firstLine="120" w:firstLineChars="50"/>
        <w:rPr>
          <w:rFonts w:ascii="宋体" w:hAnsi="宋体"/>
          <w:sz w:val="24"/>
          <w:szCs w:val="24"/>
        </w:rPr>
      </w:pPr>
      <w:r>
        <w:rPr>
          <w:rFonts w:hint="eastAsia" w:ascii="宋体" w:hAnsi="宋体"/>
          <w:sz w:val="24"/>
          <w:szCs w:val="24"/>
        </w:rPr>
        <w:t>（14）编制监理规划、监理细则、监理月报、监理评估报告、监理总结、监理日志、监理旁站记录等监理文件及资料，定期向委托人汇报监理情况；</w:t>
      </w:r>
    </w:p>
    <w:p>
      <w:pPr>
        <w:spacing w:line="500" w:lineRule="exact"/>
        <w:ind w:firstLine="120" w:firstLineChars="50"/>
        <w:rPr>
          <w:rFonts w:ascii="宋体" w:hAnsi="宋体"/>
          <w:sz w:val="24"/>
          <w:szCs w:val="24"/>
        </w:rPr>
      </w:pPr>
      <w:r>
        <w:rPr>
          <w:rFonts w:hint="eastAsia" w:ascii="宋体" w:hAnsi="宋体"/>
          <w:sz w:val="24"/>
          <w:szCs w:val="24"/>
        </w:rPr>
        <w:t>（15）组织承包人对工程进行阶段验收及竣工初验收，督促整改，并协助委托人组织竣工验收；竣工验收后20天内向委托人提交完整的监理资料2份（包括文字，视频、电子文档），督促承包人整理合同文件、技术档案资料和竣工验收资料，审核承包人提交的竣工结算资料，协助委托人进行工程竣工结算，配合委托人办理竣工验收备案手续；</w:t>
      </w:r>
    </w:p>
    <w:p>
      <w:pPr>
        <w:spacing w:line="500" w:lineRule="exact"/>
        <w:ind w:firstLine="120" w:firstLineChars="50"/>
        <w:rPr>
          <w:rFonts w:ascii="宋体" w:hAnsi="宋体"/>
          <w:sz w:val="24"/>
          <w:szCs w:val="24"/>
        </w:rPr>
      </w:pPr>
      <w:r>
        <w:rPr>
          <w:rFonts w:hint="eastAsia" w:ascii="宋体" w:hAnsi="宋体"/>
          <w:sz w:val="24"/>
          <w:szCs w:val="24"/>
        </w:rPr>
        <w:t>（16）协助委托人向承包人或者供应商就委托人的损失进行索赔。</w:t>
      </w:r>
    </w:p>
    <w:p>
      <w:pPr>
        <w:spacing w:line="500" w:lineRule="exact"/>
        <w:ind w:firstLine="120" w:firstLineChars="50"/>
        <w:rPr>
          <w:rFonts w:ascii="宋体" w:hAnsi="宋体"/>
          <w:sz w:val="24"/>
          <w:szCs w:val="24"/>
        </w:rPr>
      </w:pPr>
      <w:r>
        <w:rPr>
          <w:rFonts w:hint="eastAsia" w:ascii="宋体" w:hAnsi="宋体"/>
          <w:sz w:val="24"/>
          <w:szCs w:val="24"/>
        </w:rPr>
        <w:t>（17）招标文件、国家法律、法规、规章及规范规定的应提供的监理服务或委托人要求另行增加的其他技术咨询服务。</w:t>
      </w:r>
    </w:p>
    <w:p>
      <w:pPr>
        <w:spacing w:line="500" w:lineRule="exact"/>
        <w:ind w:firstLine="120" w:firstLineChars="50"/>
        <w:rPr>
          <w:rFonts w:ascii="宋体" w:hAnsi="宋体"/>
          <w:sz w:val="24"/>
          <w:szCs w:val="24"/>
        </w:rPr>
      </w:pPr>
      <w:r>
        <w:rPr>
          <w:rFonts w:hint="eastAsia" w:ascii="宋体" w:hAnsi="宋体"/>
          <w:sz w:val="24"/>
          <w:szCs w:val="24"/>
        </w:rPr>
        <w:t>2.2 监理与相关服务依据</w:t>
      </w:r>
    </w:p>
    <w:p>
      <w:pPr>
        <w:spacing w:line="500" w:lineRule="exact"/>
        <w:ind w:firstLine="120" w:firstLineChars="50"/>
        <w:rPr>
          <w:rFonts w:ascii="宋体" w:hAnsi="宋体"/>
          <w:sz w:val="24"/>
          <w:szCs w:val="24"/>
        </w:rPr>
      </w:pPr>
      <w:r>
        <w:rPr>
          <w:rFonts w:hint="eastAsia" w:ascii="宋体" w:hAnsi="宋体"/>
          <w:sz w:val="24"/>
          <w:szCs w:val="24"/>
        </w:rPr>
        <w:t xml:space="preserve">2.2.1 监理依据包括：   </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2.2.1.1</w:t>
      </w:r>
      <w:r>
        <w:rPr>
          <w:rFonts w:ascii="宋体" w:hAnsi="宋体"/>
          <w:sz w:val="24"/>
          <w:szCs w:val="24"/>
        </w:rPr>
        <w:t>国家颁布的有关法律、行政法规</w:t>
      </w:r>
      <w:r>
        <w:rPr>
          <w:rFonts w:hint="eastAsia" w:ascii="宋体" w:hAnsi="宋体"/>
          <w:sz w:val="24"/>
          <w:szCs w:val="24"/>
        </w:rPr>
        <w:t>、国务院相关条例、</w:t>
      </w:r>
      <w:r>
        <w:rPr>
          <w:rFonts w:ascii="宋体" w:hAnsi="宋体"/>
          <w:sz w:val="24"/>
          <w:szCs w:val="24"/>
        </w:rPr>
        <w:t>建设部部门规章及</w:t>
      </w:r>
      <w:r>
        <w:rPr>
          <w:rFonts w:hint="eastAsia" w:ascii="宋体" w:hAnsi="宋体"/>
          <w:sz w:val="24"/>
          <w:szCs w:val="24"/>
        </w:rPr>
        <w:t>地方性</w:t>
      </w:r>
      <w:r>
        <w:rPr>
          <w:rFonts w:ascii="宋体" w:hAnsi="宋体"/>
          <w:sz w:val="24"/>
          <w:szCs w:val="24"/>
        </w:rPr>
        <w:t>法规</w:t>
      </w:r>
      <w:r>
        <w:rPr>
          <w:rFonts w:hint="eastAsia" w:ascii="宋体" w:hAnsi="宋体"/>
          <w:sz w:val="24"/>
          <w:szCs w:val="24"/>
        </w:rPr>
        <w:t>、规定；</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2.2.1.2</w:t>
      </w:r>
      <w:r>
        <w:rPr>
          <w:rFonts w:ascii="宋体" w:hAnsi="宋体"/>
          <w:sz w:val="24"/>
          <w:szCs w:val="24"/>
        </w:rPr>
        <w:t>国家和地方现行的工程设计、建筑安装技术标准及</w:t>
      </w:r>
      <w:r>
        <w:rPr>
          <w:rFonts w:hint="eastAsia" w:ascii="宋体" w:hAnsi="宋体"/>
          <w:sz w:val="24"/>
          <w:szCs w:val="24"/>
        </w:rPr>
        <w:t>施工</w:t>
      </w:r>
      <w:r>
        <w:rPr>
          <w:rFonts w:ascii="宋体" w:hAnsi="宋体"/>
          <w:sz w:val="24"/>
          <w:szCs w:val="24"/>
        </w:rPr>
        <w:t>验收规范、 工程质量检验评定标准</w:t>
      </w:r>
      <w:r>
        <w:rPr>
          <w:rFonts w:hint="eastAsia" w:ascii="宋体" w:hAnsi="宋体"/>
          <w:sz w:val="24"/>
          <w:szCs w:val="24"/>
        </w:rPr>
        <w:t>、工程建设标准强制性条文、监理规范；</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2.2.1.3本工程建设文件，包括立项、规划审批文件、设计图纸</w:t>
      </w:r>
      <w:r>
        <w:rPr>
          <w:rFonts w:ascii="宋体" w:hAnsi="宋体"/>
          <w:sz w:val="24"/>
          <w:szCs w:val="24"/>
        </w:rPr>
        <w:t>和地质勘察报告</w:t>
      </w:r>
      <w:r>
        <w:rPr>
          <w:rFonts w:hint="eastAsia" w:ascii="宋体" w:hAnsi="宋体"/>
          <w:sz w:val="24"/>
          <w:szCs w:val="24"/>
        </w:rPr>
        <w:t>等；</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2.2.1.4</w:t>
      </w:r>
      <w:r>
        <w:rPr>
          <w:rFonts w:ascii="宋体" w:hAnsi="宋体"/>
          <w:sz w:val="24"/>
          <w:szCs w:val="24"/>
        </w:rPr>
        <w:t>工程招投标文件及有关答疑、补充资料；</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2.2.1.5</w:t>
      </w:r>
      <w:r>
        <w:rPr>
          <w:rFonts w:ascii="宋体" w:hAnsi="宋体"/>
          <w:sz w:val="24"/>
          <w:szCs w:val="24"/>
        </w:rPr>
        <w:t>有关建设工程造价的管理办法；</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2.2.1.6</w:t>
      </w:r>
      <w:r>
        <w:rPr>
          <w:rFonts w:ascii="宋体" w:hAnsi="宋体"/>
          <w:sz w:val="24"/>
          <w:szCs w:val="24"/>
        </w:rPr>
        <w:t>工程承发包合同（施工合同）和协议；</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2.2.1.7</w:t>
      </w:r>
      <w:r>
        <w:rPr>
          <w:rFonts w:ascii="宋体" w:hAnsi="宋体"/>
          <w:sz w:val="24"/>
          <w:szCs w:val="24"/>
        </w:rPr>
        <w:t>工程建设监理合同</w:t>
      </w:r>
      <w:r>
        <w:rPr>
          <w:rFonts w:hint="eastAsia" w:ascii="宋体" w:hAnsi="宋体"/>
          <w:sz w:val="24"/>
          <w:szCs w:val="24"/>
        </w:rPr>
        <w:t>。</w:t>
      </w:r>
    </w:p>
    <w:p>
      <w:pPr>
        <w:spacing w:line="500" w:lineRule="exact"/>
        <w:ind w:firstLine="120" w:firstLineChars="50"/>
        <w:rPr>
          <w:rFonts w:ascii="宋体" w:hAnsi="宋体"/>
          <w:sz w:val="24"/>
          <w:szCs w:val="24"/>
        </w:rPr>
      </w:pPr>
      <w:r>
        <w:rPr>
          <w:rFonts w:hint="eastAsia" w:ascii="宋体" w:hAnsi="宋体"/>
          <w:sz w:val="24"/>
          <w:szCs w:val="24"/>
        </w:rPr>
        <w:t>2.3项目监理机构和人员</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2.3.4 更换监理人员的其他情形：执行通用条件2.3.4条。</w:t>
      </w:r>
    </w:p>
    <w:p>
      <w:pPr>
        <w:spacing w:line="500" w:lineRule="exact"/>
        <w:rPr>
          <w:rFonts w:ascii="宋体" w:hAnsi="宋体"/>
          <w:sz w:val="24"/>
          <w:szCs w:val="24"/>
        </w:rPr>
      </w:pPr>
      <w:r>
        <w:rPr>
          <w:rFonts w:hint="eastAsia" w:ascii="宋体" w:hAnsi="宋体"/>
          <w:sz w:val="24"/>
          <w:szCs w:val="24"/>
        </w:rPr>
        <w:t>2.4 履行职责</w:t>
      </w:r>
    </w:p>
    <w:p>
      <w:pPr>
        <w:tabs>
          <w:tab w:val="left" w:pos="386"/>
        </w:tabs>
        <w:adjustRightInd w:val="0"/>
        <w:snapToGrid w:val="0"/>
        <w:spacing w:line="500" w:lineRule="exact"/>
        <w:ind w:left="105" w:leftChars="50" w:firstLine="120" w:firstLineChars="50"/>
        <w:rPr>
          <w:rFonts w:ascii="宋体" w:hAnsi="宋体"/>
          <w:sz w:val="24"/>
          <w:szCs w:val="24"/>
        </w:rPr>
      </w:pPr>
      <w:r>
        <w:rPr>
          <w:rFonts w:hint="eastAsia" w:ascii="宋体" w:hAnsi="宋体"/>
          <w:sz w:val="24"/>
          <w:szCs w:val="24"/>
        </w:rPr>
        <w:t>2.4.3对监理人的授权范围： 协助委托人对施工单位提交的进度款报表进行审核、确认；协助委托人对施工单位上报的增加项目工程量及单价审核、确认；协助委托人对施工单位提交的结算工程量进行审核；对施工单位现场进行职责范围内全过程监理。</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 xml:space="preserve">2.4.4监理人有权要求承包人调换其人员的限制条件： </w:t>
      </w:r>
    </w:p>
    <w:p>
      <w:pPr>
        <w:adjustRightInd w:val="0"/>
        <w:snapToGrid w:val="0"/>
        <w:spacing w:line="500" w:lineRule="exact"/>
        <w:ind w:firstLine="120" w:firstLineChars="50"/>
        <w:rPr>
          <w:rFonts w:ascii="宋体" w:hAnsi="宋体"/>
          <w:sz w:val="24"/>
          <w:szCs w:val="24"/>
        </w:rPr>
      </w:pPr>
      <w:r>
        <w:rPr>
          <w:rFonts w:hint="eastAsia" w:ascii="宋体" w:hAnsi="宋体"/>
          <w:sz w:val="24"/>
          <w:szCs w:val="24"/>
        </w:rPr>
        <w:t xml:space="preserve">承包人管理人员不能胜任本职工作的需征得委托人同意方可调换。  </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2.4.5</w:t>
      </w:r>
      <w:r>
        <w:rPr>
          <w:rFonts w:hint="eastAsia" w:ascii="宋体" w:hAnsi="宋体"/>
          <w:sz w:val="24"/>
        </w:rPr>
        <w:t>自合同签订之日起，监理单位即参与前期工作，及时认真地完成委托人交与的有关工程管理工作。</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2.4.6</w:t>
      </w:r>
      <w:r>
        <w:rPr>
          <w:rFonts w:hint="eastAsia" w:ascii="宋体" w:hAnsi="宋体"/>
          <w:sz w:val="24"/>
        </w:rPr>
        <w:t>监理人员应认真组织进行图纸会审，如因图纸会审疏漏造成损失，监理单位应承担相应的责任并按责任比例赔偿有关损失。</w:t>
      </w:r>
    </w:p>
    <w:p>
      <w:pPr>
        <w:adjustRightInd w:val="0"/>
        <w:snapToGrid w:val="0"/>
        <w:spacing w:line="500" w:lineRule="exact"/>
        <w:ind w:firstLine="240" w:firstLineChars="100"/>
        <w:rPr>
          <w:rFonts w:ascii="宋体" w:hAnsi="宋体"/>
          <w:sz w:val="24"/>
        </w:rPr>
      </w:pPr>
      <w:r>
        <w:rPr>
          <w:rFonts w:hint="eastAsia" w:ascii="宋体" w:hAnsi="宋体"/>
          <w:sz w:val="24"/>
          <w:szCs w:val="24"/>
        </w:rPr>
        <w:t>2.4.7</w:t>
      </w:r>
      <w:r>
        <w:rPr>
          <w:rFonts w:hint="eastAsia" w:ascii="宋体" w:hAnsi="宋体"/>
          <w:sz w:val="24"/>
        </w:rPr>
        <w:t>监理人员要善于主动发现问题，及时与</w:t>
      </w:r>
      <w:r>
        <w:rPr>
          <w:rFonts w:hint="eastAsia" w:ascii="宋体" w:hAnsi="宋体"/>
          <w:sz w:val="24"/>
          <w:szCs w:val="24"/>
        </w:rPr>
        <w:t>委托人</w:t>
      </w:r>
      <w:r>
        <w:rPr>
          <w:rFonts w:hint="eastAsia" w:ascii="宋体" w:hAnsi="宋体"/>
          <w:sz w:val="24"/>
        </w:rPr>
        <w:t>沟通，应拿出解决问题的具体方法。</w:t>
      </w:r>
    </w:p>
    <w:p>
      <w:pPr>
        <w:adjustRightInd w:val="0"/>
        <w:snapToGrid w:val="0"/>
        <w:spacing w:line="500" w:lineRule="exact"/>
        <w:ind w:firstLine="240" w:firstLineChars="100"/>
        <w:rPr>
          <w:rFonts w:ascii="宋体" w:hAnsi="宋体"/>
          <w:sz w:val="24"/>
        </w:rPr>
      </w:pPr>
      <w:r>
        <w:rPr>
          <w:rFonts w:hint="eastAsia" w:ascii="宋体" w:hAnsi="宋体"/>
          <w:sz w:val="24"/>
          <w:szCs w:val="24"/>
        </w:rPr>
        <w:t>2.4.8</w:t>
      </w:r>
      <w:r>
        <w:rPr>
          <w:rFonts w:hint="eastAsia" w:ascii="宋体" w:hAnsi="宋体"/>
          <w:sz w:val="24"/>
        </w:rPr>
        <w:t>监理人员工作作风正派，工作日中午不准饮酒，不准向</w:t>
      </w:r>
      <w:r>
        <w:rPr>
          <w:rFonts w:hint="eastAsia" w:ascii="宋体" w:hAnsi="宋体"/>
          <w:sz w:val="24"/>
          <w:szCs w:val="24"/>
        </w:rPr>
        <w:t>承包人</w:t>
      </w:r>
      <w:r>
        <w:rPr>
          <w:rFonts w:hint="eastAsia" w:ascii="宋体" w:hAnsi="宋体"/>
          <w:sz w:val="24"/>
        </w:rPr>
        <w:t>推荐施工队伍及材料厂家，不能欺上瞒下，不准故意刁难，如有不坚守工作岗位、向</w:t>
      </w:r>
      <w:r>
        <w:rPr>
          <w:rFonts w:hint="eastAsia" w:ascii="宋体" w:hAnsi="宋体"/>
          <w:sz w:val="24"/>
          <w:szCs w:val="24"/>
        </w:rPr>
        <w:t>承包人</w:t>
      </w:r>
      <w:r>
        <w:rPr>
          <w:rFonts w:hint="eastAsia" w:ascii="宋体" w:hAnsi="宋体"/>
          <w:sz w:val="24"/>
        </w:rPr>
        <w:t>索、拿、卡、要、或与施工单位有串通、失职等任何形式的违规行为，一经发现，监理人应向</w:t>
      </w:r>
      <w:r>
        <w:rPr>
          <w:rFonts w:hint="eastAsia" w:ascii="宋体" w:hAnsi="宋体"/>
          <w:sz w:val="24"/>
          <w:szCs w:val="24"/>
        </w:rPr>
        <w:t>委托人</w:t>
      </w:r>
      <w:r>
        <w:rPr>
          <w:rFonts w:hint="eastAsia" w:ascii="宋体" w:hAnsi="宋体"/>
          <w:sz w:val="24"/>
        </w:rPr>
        <w:t>支付相应的违约金，造成</w:t>
      </w:r>
      <w:r>
        <w:rPr>
          <w:rFonts w:hint="eastAsia" w:ascii="宋体" w:hAnsi="宋体"/>
          <w:sz w:val="24"/>
          <w:szCs w:val="24"/>
        </w:rPr>
        <w:t>委托人</w:t>
      </w:r>
      <w:r>
        <w:rPr>
          <w:rFonts w:hint="eastAsia" w:ascii="宋体" w:hAnsi="宋体"/>
          <w:sz w:val="24"/>
        </w:rPr>
        <w:t>损失的应予赔偿，</w:t>
      </w:r>
      <w:r>
        <w:rPr>
          <w:rFonts w:hint="eastAsia" w:ascii="宋体" w:hAnsi="宋体"/>
          <w:sz w:val="24"/>
          <w:szCs w:val="24"/>
        </w:rPr>
        <w:t>委托人</w:t>
      </w:r>
      <w:r>
        <w:rPr>
          <w:rFonts w:hint="eastAsia" w:ascii="宋体" w:hAnsi="宋体"/>
          <w:sz w:val="24"/>
        </w:rPr>
        <w:t>有权责令驱离上述人员离开施工现场，追究监理人有关责任并有权解除合同。如出现被驱离施工现场人员情况，监理人应即时补足监理人员。否则，监理人承担违约责任。</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2.5 提交报告</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监理人应提交报告的种类(包括监理规划、监理月报及约定的专项报告)、时间和份数：监理规划：合同签订后7日内，提交2份；监理实施细则：实施施工组织审批后5日内，提交2份；监理周报：施工周最后一个工作日，提交2份；监理月报：施工月最后一个工作日，提交2份；监理会议纪要：会议结束后第二个工作日，提交2份。</w:t>
      </w:r>
    </w:p>
    <w:p>
      <w:pPr>
        <w:snapToGrid w:val="0"/>
        <w:spacing w:line="500" w:lineRule="exact"/>
        <w:ind w:firstLine="480" w:firstLineChars="200"/>
        <w:rPr>
          <w:rFonts w:ascii="宋体" w:hAnsi="宋体"/>
          <w:sz w:val="24"/>
          <w:szCs w:val="24"/>
        </w:rPr>
      </w:pPr>
      <w:r>
        <w:rPr>
          <w:rFonts w:hint="eastAsia" w:ascii="宋体" w:hAnsi="宋体"/>
          <w:sz w:val="24"/>
          <w:szCs w:val="24"/>
        </w:rPr>
        <w:t>正常施工期内，监理人须在监理日志中注明施工部位、施工机械、施工人员并每周附施工进度形象照片；监理人每周组织监理例会。</w:t>
      </w:r>
    </w:p>
    <w:p>
      <w:pPr>
        <w:spacing w:line="500" w:lineRule="exact"/>
        <w:ind w:firstLine="240" w:firstLineChars="100"/>
        <w:rPr>
          <w:rFonts w:ascii="宋体" w:hAnsi="宋体"/>
          <w:sz w:val="24"/>
          <w:szCs w:val="24"/>
        </w:rPr>
      </w:pPr>
      <w:r>
        <w:rPr>
          <w:rFonts w:hint="eastAsia" w:ascii="宋体" w:hAnsi="宋体"/>
          <w:sz w:val="24"/>
          <w:szCs w:val="24"/>
        </w:rPr>
        <w:t>2.7 使用委托人的财产</w:t>
      </w:r>
    </w:p>
    <w:p>
      <w:pPr>
        <w:spacing w:line="500" w:lineRule="exact"/>
        <w:rPr>
          <w:rFonts w:ascii="宋体" w:hAnsi="宋体"/>
          <w:sz w:val="24"/>
          <w:szCs w:val="24"/>
        </w:rPr>
      </w:pPr>
      <w:r>
        <w:rPr>
          <w:rFonts w:hint="eastAsia" w:ascii="宋体" w:hAnsi="宋体"/>
          <w:sz w:val="24"/>
          <w:szCs w:val="24"/>
        </w:rPr>
        <w:t xml:space="preserve">   由委托人无偿提供的房屋的所有权属于： 委托人 。</w:t>
      </w:r>
    </w:p>
    <w:p>
      <w:pPr>
        <w:spacing w:line="500" w:lineRule="exact"/>
        <w:ind w:firstLine="360" w:firstLineChars="150"/>
        <w:rPr>
          <w:rFonts w:ascii="宋体" w:hAnsi="宋体"/>
          <w:sz w:val="24"/>
          <w:szCs w:val="24"/>
        </w:rPr>
      </w:pPr>
      <w:r>
        <w:rPr>
          <w:rFonts w:hint="eastAsia" w:ascii="宋体" w:hAnsi="宋体"/>
          <w:sz w:val="24"/>
          <w:szCs w:val="24"/>
        </w:rPr>
        <w:t>监理人应在本合同终止后 7 天内移交委托人无偿提供的房屋，移交的时间和方式为： 合同终止后7天内将委托人所提供物品全数移交  。</w:t>
      </w:r>
    </w:p>
    <w:p>
      <w:pPr>
        <w:adjustRightInd w:val="0"/>
        <w:snapToGrid w:val="0"/>
        <w:spacing w:line="500" w:lineRule="exact"/>
        <w:rPr>
          <w:rFonts w:ascii="宋体" w:hAnsi="宋体"/>
          <w:sz w:val="24"/>
          <w:szCs w:val="24"/>
        </w:rPr>
      </w:pPr>
      <w:r>
        <w:rPr>
          <w:rFonts w:hint="eastAsia" w:ascii="宋体" w:hAnsi="宋体"/>
          <w:sz w:val="24"/>
          <w:szCs w:val="24"/>
        </w:rPr>
        <w:t xml:space="preserve">3. 委托人义务  </w:t>
      </w:r>
    </w:p>
    <w:p>
      <w:pPr>
        <w:snapToGrid w:val="0"/>
        <w:spacing w:line="500" w:lineRule="exact"/>
        <w:rPr>
          <w:rFonts w:ascii="宋体" w:hAnsi="宋体"/>
          <w:sz w:val="24"/>
          <w:szCs w:val="24"/>
        </w:rPr>
      </w:pPr>
      <w:r>
        <w:rPr>
          <w:rFonts w:hint="eastAsia" w:ascii="宋体" w:hAnsi="宋体"/>
          <w:sz w:val="24"/>
          <w:szCs w:val="24"/>
        </w:rPr>
        <w:t xml:space="preserve">  3.4 委托人代表</w:t>
      </w:r>
    </w:p>
    <w:p>
      <w:pPr>
        <w:adjustRightInd w:val="0"/>
        <w:snapToGrid w:val="0"/>
        <w:spacing w:line="500" w:lineRule="exact"/>
        <w:ind w:firstLine="240" w:firstLineChars="100"/>
        <w:rPr>
          <w:rFonts w:ascii="宋体" w:hAnsi="宋体"/>
          <w:sz w:val="24"/>
          <w:szCs w:val="24"/>
        </w:rPr>
      </w:pPr>
      <w:r>
        <w:rPr>
          <w:rFonts w:hint="eastAsia" w:ascii="宋体" w:hAnsi="宋体"/>
          <w:sz w:val="24"/>
          <w:szCs w:val="24"/>
        </w:rPr>
        <w:t xml:space="preserve">委托人代表为： 朱瑞华    </w:t>
      </w:r>
      <w:r>
        <w:rPr>
          <w:rFonts w:hint="eastAsia" w:ascii="宋体" w:hAnsi="宋体"/>
          <w:sz w:val="24"/>
        </w:rPr>
        <w:t>电话：</w:t>
      </w:r>
      <w:r>
        <w:rPr>
          <w:rFonts w:hint="eastAsia" w:ascii="宋体" w:hAnsi="宋体"/>
          <w:sz w:val="24"/>
          <w:szCs w:val="24"/>
        </w:rPr>
        <w:t xml:space="preserve"> 15066385911</w:t>
      </w:r>
    </w:p>
    <w:p>
      <w:pPr>
        <w:adjustRightInd w:val="0"/>
        <w:snapToGrid w:val="0"/>
        <w:spacing w:line="500" w:lineRule="exact"/>
        <w:ind w:firstLine="235" w:firstLineChars="98"/>
        <w:rPr>
          <w:rFonts w:ascii="宋体" w:hAnsi="宋体"/>
          <w:sz w:val="24"/>
          <w:szCs w:val="24"/>
        </w:rPr>
      </w:pPr>
      <w:r>
        <w:rPr>
          <w:rFonts w:hint="eastAsia" w:ascii="宋体" w:hAnsi="宋体"/>
          <w:sz w:val="24"/>
          <w:szCs w:val="24"/>
        </w:rPr>
        <w:t>3.6答复</w:t>
      </w:r>
    </w:p>
    <w:p>
      <w:pPr>
        <w:spacing w:line="500" w:lineRule="exact"/>
        <w:rPr>
          <w:rFonts w:ascii="宋体" w:hAnsi="宋体"/>
          <w:sz w:val="24"/>
          <w:szCs w:val="24"/>
        </w:rPr>
      </w:pPr>
      <w:r>
        <w:rPr>
          <w:rFonts w:hint="eastAsia" w:ascii="宋体" w:hAnsi="宋体"/>
          <w:sz w:val="24"/>
          <w:szCs w:val="24"/>
        </w:rPr>
        <w:t>委托人同意在 5 天内，对监理人书面提交并要求做出决定的事宜给予书面答复。</w:t>
      </w:r>
    </w:p>
    <w:p>
      <w:pPr>
        <w:spacing w:line="500" w:lineRule="atLeast"/>
        <w:rPr>
          <w:rFonts w:ascii="宋体" w:hAnsi="宋体"/>
          <w:sz w:val="24"/>
          <w:szCs w:val="24"/>
        </w:rPr>
      </w:pPr>
      <w:r>
        <w:rPr>
          <w:rFonts w:hint="eastAsia" w:ascii="宋体" w:hAnsi="宋体"/>
          <w:sz w:val="24"/>
          <w:szCs w:val="24"/>
        </w:rPr>
        <w:t>4. 违约责任</w:t>
      </w:r>
    </w:p>
    <w:p>
      <w:pPr>
        <w:spacing w:line="500" w:lineRule="atLeast"/>
        <w:rPr>
          <w:rFonts w:ascii="宋体" w:hAnsi="宋体"/>
          <w:sz w:val="24"/>
          <w:szCs w:val="24"/>
        </w:rPr>
      </w:pPr>
      <w:r>
        <w:rPr>
          <w:rFonts w:hint="eastAsia" w:ascii="宋体" w:hAnsi="宋体"/>
          <w:sz w:val="24"/>
          <w:szCs w:val="24"/>
        </w:rPr>
        <w:t>4.1 监理人的违约责任</w:t>
      </w:r>
    </w:p>
    <w:p>
      <w:pPr>
        <w:spacing w:line="500" w:lineRule="atLeast"/>
        <w:rPr>
          <w:rFonts w:ascii="宋体" w:hAnsi="宋体"/>
          <w:sz w:val="24"/>
          <w:szCs w:val="24"/>
        </w:rPr>
      </w:pPr>
      <w:r>
        <w:rPr>
          <w:rFonts w:hint="eastAsia" w:ascii="宋体" w:hAnsi="宋体"/>
          <w:sz w:val="24"/>
          <w:szCs w:val="24"/>
        </w:rPr>
        <w:t>4.1.1 若监理人因指令错误、失职、渎职、脱岗造成委托人损失，监理人应向委托人赔偿。监理人对委托人的赔偿额为工程直接损失额，但不超过监理报酬总额。</w:t>
      </w:r>
    </w:p>
    <w:p>
      <w:pPr>
        <w:spacing w:line="500" w:lineRule="atLeast"/>
        <w:ind w:firstLine="360" w:firstLineChars="150"/>
        <w:rPr>
          <w:rFonts w:ascii="宋体" w:hAnsi="宋体"/>
          <w:sz w:val="24"/>
          <w:szCs w:val="24"/>
        </w:rPr>
      </w:pPr>
      <w:r>
        <w:rPr>
          <w:rFonts w:hint="eastAsia" w:ascii="宋体" w:hAnsi="宋体"/>
          <w:sz w:val="24"/>
          <w:szCs w:val="24"/>
        </w:rPr>
        <w:t>对承包人违反合同规定的质量要求和完工时限，必须采取必要的手段进行事前、事中和事后控制，否则必须承担连带责任，向委托人支付违约金（数额为承包人违约金的50%）。</w:t>
      </w:r>
    </w:p>
    <w:p>
      <w:pPr>
        <w:spacing w:line="500" w:lineRule="atLeast"/>
        <w:ind w:firstLine="360" w:firstLineChars="150"/>
        <w:rPr>
          <w:rFonts w:ascii="宋体" w:hAnsi="宋体"/>
          <w:sz w:val="24"/>
          <w:szCs w:val="24"/>
        </w:rPr>
      </w:pPr>
      <w:r>
        <w:rPr>
          <w:rFonts w:hint="eastAsia" w:ascii="宋体" w:hAnsi="宋体"/>
          <w:sz w:val="24"/>
          <w:szCs w:val="24"/>
        </w:rPr>
        <w:t>4.1.3</w:t>
      </w:r>
      <w:r>
        <w:rPr>
          <w:rFonts w:hint="eastAsia" w:ascii="宋体" w:hAnsi="宋体"/>
          <w:b/>
          <w:sz w:val="24"/>
          <w:szCs w:val="24"/>
        </w:rPr>
        <w:t>监理项目部人员配备要求：根据工程现场施工情况配备土建或安装监理工程师，常驻工地监理人员1人。</w:t>
      </w:r>
      <w:r>
        <w:rPr>
          <w:rFonts w:hint="eastAsia" w:ascii="宋体" w:hAnsi="宋体"/>
          <w:sz w:val="24"/>
          <w:szCs w:val="24"/>
        </w:rPr>
        <w:t>常驻工地的监理人员每月出勤时间不得低于26天，经考核，如当月出勤天数少于26天，则监理单位向发包方支付违约金500元/人/天。</w:t>
      </w:r>
    </w:p>
    <w:p>
      <w:pPr>
        <w:spacing w:line="500" w:lineRule="atLeast"/>
        <w:rPr>
          <w:rFonts w:ascii="宋体" w:hAnsi="宋体"/>
          <w:sz w:val="24"/>
          <w:szCs w:val="24"/>
        </w:rPr>
      </w:pPr>
      <w:r>
        <w:rPr>
          <w:rFonts w:hint="eastAsia" w:ascii="宋体" w:hAnsi="宋体"/>
          <w:sz w:val="24"/>
          <w:szCs w:val="24"/>
        </w:rPr>
        <w:t>4.1.3总监理工程师不在工地现场期间，必须指定适合的总监代表履行其职责，并通知委托人。各专业监理工程师请、休假要报委托人代表，获批准后，方可离开，否则按违约处理。</w:t>
      </w:r>
    </w:p>
    <w:p>
      <w:pPr>
        <w:spacing w:line="500" w:lineRule="exact"/>
        <w:rPr>
          <w:rFonts w:ascii="宋体" w:hAnsi="宋体"/>
          <w:sz w:val="24"/>
          <w:szCs w:val="24"/>
        </w:rPr>
      </w:pPr>
      <w:r>
        <w:rPr>
          <w:rFonts w:hint="eastAsia" w:ascii="宋体" w:hAnsi="宋体"/>
          <w:sz w:val="24"/>
          <w:szCs w:val="24"/>
        </w:rPr>
        <w:t>4.1.4</w:t>
      </w:r>
      <w:r>
        <w:rPr>
          <w:rFonts w:ascii="宋体" w:hAnsi="宋体"/>
          <w:sz w:val="24"/>
          <w:szCs w:val="24"/>
        </w:rPr>
        <w:t xml:space="preserve"> </w:t>
      </w:r>
      <w:r>
        <w:rPr>
          <w:rFonts w:hint="eastAsia" w:ascii="宋体" w:hAnsi="宋体"/>
          <w:sz w:val="24"/>
          <w:szCs w:val="24"/>
        </w:rPr>
        <w:t>监理人不得随意更换总监理工程师，否则，委托人有权终止监理合同；如监理人所派驻总监理工程师或专业监理工程师确需更换，须经委托人同意。未经委托人的同意，监理人私自更换总监理工程师时，承担违约金伍仟元。</w:t>
      </w:r>
    </w:p>
    <w:p>
      <w:pPr>
        <w:spacing w:line="500" w:lineRule="exact"/>
        <w:rPr>
          <w:rFonts w:ascii="宋体" w:hAnsi="宋体"/>
          <w:sz w:val="24"/>
          <w:szCs w:val="24"/>
        </w:rPr>
      </w:pPr>
      <w:r>
        <w:rPr>
          <w:rFonts w:hint="eastAsia" w:ascii="宋体" w:hAnsi="宋体"/>
          <w:sz w:val="24"/>
          <w:szCs w:val="24"/>
        </w:rPr>
        <w:t>4.1.5监理人应保证监理人员与投标人员安排一致，不得擅自更换，否则按违约处理，每人次向委托人支付违约金壹仟元，更换30%以上人员，委托人有权终止合同。</w:t>
      </w:r>
    </w:p>
    <w:p>
      <w:pPr>
        <w:spacing w:line="500" w:lineRule="exact"/>
        <w:rPr>
          <w:rFonts w:ascii="宋体" w:hAnsi="宋体"/>
          <w:sz w:val="24"/>
          <w:szCs w:val="24"/>
        </w:rPr>
      </w:pPr>
      <w:r>
        <w:rPr>
          <w:rFonts w:hint="eastAsia" w:ascii="宋体" w:hAnsi="宋体"/>
          <w:sz w:val="24"/>
          <w:szCs w:val="24"/>
        </w:rPr>
        <w:t>4.1.6监理人员应日常巡视和旁站监理。凡隐蔽工程、关键部位、关键工序均应有监理人员进行旁站监理，并采用巡视、检测、见证取样和平行检验等方式控制工程质量，平行检验比例不得低于施工单位检验数量的30</w:t>
      </w:r>
      <w:r>
        <w:rPr>
          <w:rFonts w:ascii="宋体" w:hAnsi="宋体"/>
          <w:sz w:val="24"/>
          <w:szCs w:val="24"/>
        </w:rPr>
        <w:t>%</w:t>
      </w:r>
      <w:r>
        <w:rPr>
          <w:rFonts w:hint="eastAsia" w:ascii="宋体" w:hAnsi="宋体"/>
          <w:sz w:val="24"/>
          <w:szCs w:val="24"/>
        </w:rPr>
        <w:t>，每降低1%扣减监理费贰仟元。</w:t>
      </w:r>
    </w:p>
    <w:p>
      <w:pPr>
        <w:spacing w:line="500" w:lineRule="exact"/>
        <w:rPr>
          <w:rFonts w:ascii="宋体" w:hAnsi="宋体"/>
          <w:sz w:val="24"/>
          <w:szCs w:val="24"/>
        </w:rPr>
      </w:pPr>
      <w:r>
        <w:rPr>
          <w:rFonts w:hint="eastAsia" w:ascii="宋体" w:hAnsi="宋体"/>
          <w:sz w:val="24"/>
          <w:szCs w:val="24"/>
        </w:rPr>
        <w:t>4.1.7监理人应根据国家相关规定及现场项目需要提供的检测仪器、设备，经委托人检查未到位的，每发现一套处违约金1000元。</w:t>
      </w:r>
    </w:p>
    <w:p>
      <w:pPr>
        <w:spacing w:line="500" w:lineRule="exact"/>
        <w:rPr>
          <w:rFonts w:ascii="宋体" w:hAnsi="宋体"/>
          <w:sz w:val="24"/>
          <w:szCs w:val="24"/>
        </w:rPr>
      </w:pPr>
      <w:r>
        <w:rPr>
          <w:rFonts w:hint="eastAsia" w:ascii="宋体" w:hAnsi="宋体"/>
          <w:sz w:val="24"/>
          <w:szCs w:val="24"/>
        </w:rPr>
        <w:t>4.1.8委托人有权按照投标文件的承诺和《建设工程监理规范</w:t>
      </w:r>
      <w:r>
        <w:rPr>
          <w:rFonts w:hint="eastAsia" w:ascii="宋体" w:hAnsi="宋体"/>
          <w:sz w:val="24"/>
        </w:rPr>
        <w:t>》、相关法律法规的规定在合同签订后监督检查</w:t>
      </w:r>
      <w:r>
        <w:rPr>
          <w:rFonts w:hint="eastAsia" w:ascii="宋体" w:hAnsi="宋体"/>
          <w:sz w:val="24"/>
          <w:szCs w:val="24"/>
        </w:rPr>
        <w:t>监理人</w:t>
      </w:r>
      <w:r>
        <w:rPr>
          <w:rFonts w:hint="eastAsia" w:ascii="宋体" w:hAnsi="宋体"/>
          <w:sz w:val="24"/>
        </w:rPr>
        <w:t>的工作，监督检查内容见附件1，凡不符合规定并在</w:t>
      </w:r>
      <w:r>
        <w:rPr>
          <w:rFonts w:hint="eastAsia" w:ascii="宋体" w:hAnsi="宋体"/>
          <w:sz w:val="24"/>
          <w:szCs w:val="24"/>
        </w:rPr>
        <w:t>委托人</w:t>
      </w:r>
      <w:r>
        <w:rPr>
          <w:rFonts w:hint="eastAsia" w:ascii="宋体" w:hAnsi="宋体"/>
          <w:sz w:val="24"/>
        </w:rPr>
        <w:t>书面下达通知后仍不改正的，每次向</w:t>
      </w:r>
      <w:r>
        <w:rPr>
          <w:rFonts w:hint="eastAsia" w:ascii="宋体" w:hAnsi="宋体"/>
          <w:sz w:val="24"/>
          <w:szCs w:val="24"/>
        </w:rPr>
        <w:t>委托人</w:t>
      </w:r>
      <w:r>
        <w:rPr>
          <w:rFonts w:hint="eastAsia" w:ascii="宋体" w:hAnsi="宋体"/>
          <w:sz w:val="24"/>
        </w:rPr>
        <w:t>支付违约金壹万元，连续三次或累计五次不予整改的，将被认为无法保证监理工作的质量，监理</w:t>
      </w:r>
      <w:r>
        <w:rPr>
          <w:rFonts w:hint="eastAsia" w:ascii="宋体" w:hAnsi="宋体"/>
          <w:sz w:val="24"/>
          <w:szCs w:val="24"/>
        </w:rPr>
        <w:t>人</w:t>
      </w:r>
      <w:r>
        <w:rPr>
          <w:rFonts w:hint="eastAsia" w:ascii="宋体" w:hAnsi="宋体"/>
          <w:sz w:val="24"/>
        </w:rPr>
        <w:t>一次性向</w:t>
      </w:r>
      <w:r>
        <w:rPr>
          <w:rFonts w:hint="eastAsia" w:ascii="宋体" w:hAnsi="宋体"/>
          <w:sz w:val="24"/>
          <w:szCs w:val="24"/>
        </w:rPr>
        <w:t>委托人</w:t>
      </w:r>
      <w:r>
        <w:rPr>
          <w:rFonts w:hint="eastAsia" w:ascii="宋体" w:hAnsi="宋体"/>
          <w:sz w:val="24"/>
        </w:rPr>
        <w:t>支付拾万元违约金，</w:t>
      </w:r>
      <w:r>
        <w:rPr>
          <w:rFonts w:hint="eastAsia" w:ascii="宋体" w:hAnsi="宋体"/>
          <w:sz w:val="24"/>
          <w:szCs w:val="24"/>
        </w:rPr>
        <w:t>委托人</w:t>
      </w:r>
      <w:r>
        <w:rPr>
          <w:rFonts w:hint="eastAsia" w:ascii="宋体" w:hAnsi="宋体"/>
          <w:sz w:val="24"/>
        </w:rPr>
        <w:t>有权单方解除合同。</w:t>
      </w:r>
    </w:p>
    <w:p>
      <w:pPr>
        <w:spacing w:line="500" w:lineRule="exact"/>
        <w:rPr>
          <w:rFonts w:ascii="宋体" w:hAnsi="宋体"/>
          <w:sz w:val="24"/>
          <w:szCs w:val="24"/>
        </w:rPr>
      </w:pPr>
      <w:r>
        <w:rPr>
          <w:rFonts w:hint="eastAsia" w:ascii="宋体" w:hAnsi="宋体"/>
          <w:sz w:val="24"/>
          <w:szCs w:val="24"/>
        </w:rPr>
        <w:t>4.2 委托人的违约责任</w:t>
      </w:r>
    </w:p>
    <w:p>
      <w:pPr>
        <w:spacing w:line="500" w:lineRule="exact"/>
        <w:rPr>
          <w:rFonts w:ascii="宋体" w:hAnsi="宋体"/>
          <w:sz w:val="24"/>
          <w:szCs w:val="24"/>
        </w:rPr>
      </w:pPr>
      <w:r>
        <w:rPr>
          <w:rFonts w:hint="eastAsia" w:ascii="宋体" w:hAnsi="宋体"/>
          <w:sz w:val="24"/>
          <w:szCs w:val="24"/>
        </w:rPr>
        <w:t>4.2.3 委托人逾期付款利息按下列方法确定：</w:t>
      </w:r>
    </w:p>
    <w:p>
      <w:pPr>
        <w:spacing w:line="500" w:lineRule="exact"/>
        <w:rPr>
          <w:rFonts w:ascii="宋体" w:hAnsi="宋体"/>
          <w:sz w:val="24"/>
          <w:szCs w:val="24"/>
        </w:rPr>
      </w:pPr>
      <w:r>
        <w:rPr>
          <w:rFonts w:hint="eastAsia" w:ascii="宋体" w:hAnsi="宋体"/>
          <w:sz w:val="24"/>
          <w:szCs w:val="24"/>
        </w:rPr>
        <w:t>逾期付款利息＝当期应付款总额×银行同期存款利率×拖延支付天数</w:t>
      </w:r>
    </w:p>
    <w:p>
      <w:pPr>
        <w:snapToGrid w:val="0"/>
        <w:spacing w:line="500" w:lineRule="exact"/>
        <w:ind w:firstLine="240" w:firstLineChars="100"/>
        <w:rPr>
          <w:rFonts w:ascii="宋体" w:hAnsi="宋体"/>
          <w:sz w:val="24"/>
          <w:szCs w:val="24"/>
          <w:highlight w:val="yellow"/>
        </w:rPr>
      </w:pPr>
      <w:r>
        <w:rPr>
          <w:rFonts w:hint="eastAsia" w:ascii="宋体" w:hAnsi="宋体"/>
          <w:sz w:val="24"/>
          <w:szCs w:val="24"/>
          <w:highlight w:val="yellow"/>
        </w:rPr>
        <w:t>5. 支付酬金</w:t>
      </w:r>
    </w:p>
    <w:p>
      <w:pPr>
        <w:snapToGrid w:val="0"/>
        <w:spacing w:line="500" w:lineRule="exact"/>
        <w:ind w:firstLine="240" w:firstLineChars="100"/>
        <w:rPr>
          <w:rFonts w:ascii="宋体" w:hAnsi="宋体"/>
          <w:sz w:val="24"/>
          <w:szCs w:val="24"/>
        </w:rPr>
      </w:pPr>
      <w:r>
        <w:rPr>
          <w:rFonts w:hint="eastAsia" w:ascii="宋体" w:hAnsi="宋体"/>
          <w:sz w:val="24"/>
          <w:szCs w:val="24"/>
          <w:highlight w:val="yellow"/>
        </w:rPr>
        <w:t>工程开工一个月后支付至合同总监理酬金的30％，工程完工后支付至合同总监理酬金的70％，工程竣工验收合格备案后支付至合同总监理酬金的90％，工程档案资料符合国家、地方有关规定要求并移交委托人且结算完后14天内支付剩余款项。</w:t>
      </w:r>
    </w:p>
    <w:p>
      <w:pPr>
        <w:snapToGrid w:val="0"/>
        <w:spacing w:line="500" w:lineRule="exact"/>
        <w:ind w:firstLine="240" w:firstLineChars="100"/>
        <w:rPr>
          <w:rFonts w:ascii="宋体" w:hAnsi="宋体"/>
          <w:sz w:val="24"/>
          <w:szCs w:val="24"/>
          <w:highlight w:val="yellow"/>
        </w:rPr>
      </w:pPr>
      <w:r>
        <w:rPr>
          <w:rFonts w:hint="eastAsia" w:ascii="宋体" w:hAnsi="宋体"/>
          <w:sz w:val="24"/>
          <w:szCs w:val="24"/>
          <w:highlight w:val="yellow"/>
        </w:rPr>
        <w:t>监理酬金支付7日前，监理人必须提前提供相应数额的与业务内容相符的</w:t>
      </w:r>
      <w:r>
        <w:rPr>
          <w:rFonts w:hint="eastAsia" w:ascii="宋体" w:hAnsi="宋体"/>
          <w:sz w:val="24"/>
          <w:szCs w:val="24"/>
          <w:highlight w:val="yellow"/>
          <w:u w:val="single"/>
        </w:rPr>
        <w:t xml:space="preserve">   </w:t>
      </w:r>
      <w:r>
        <w:rPr>
          <w:rFonts w:hint="eastAsia" w:ascii="宋体" w:hAnsi="宋体"/>
          <w:sz w:val="24"/>
          <w:szCs w:val="24"/>
          <w:highlight w:val="yellow"/>
        </w:rPr>
        <w:t xml:space="preserve">%增值税专用发票，否则委托人有权延期支付监理酬金。 </w:t>
      </w:r>
    </w:p>
    <w:p>
      <w:pPr>
        <w:snapToGrid w:val="0"/>
        <w:spacing w:line="500" w:lineRule="exact"/>
        <w:ind w:firstLine="240" w:firstLineChars="100"/>
        <w:rPr>
          <w:rFonts w:ascii="宋体" w:hAnsi="宋体"/>
          <w:sz w:val="24"/>
          <w:szCs w:val="24"/>
          <w:highlight w:val="yellow"/>
        </w:rPr>
      </w:pPr>
      <w:r>
        <w:rPr>
          <w:rFonts w:hint="eastAsia" w:ascii="宋体" w:hAnsi="宋体"/>
          <w:sz w:val="24"/>
          <w:szCs w:val="24"/>
          <w:highlight w:val="yellow"/>
        </w:rPr>
        <w:t>监理酬金支付时有可能支付8</w:t>
      </w:r>
      <w:r>
        <w:rPr>
          <w:rFonts w:ascii="宋体" w:hAnsi="宋体"/>
          <w:sz w:val="24"/>
          <w:szCs w:val="24"/>
          <w:highlight w:val="yellow"/>
        </w:rPr>
        <w:t>0%</w:t>
      </w:r>
      <w:r>
        <w:rPr>
          <w:rFonts w:hint="eastAsia" w:ascii="宋体" w:hAnsi="宋体"/>
          <w:sz w:val="24"/>
          <w:szCs w:val="24"/>
          <w:highlight w:val="yellow"/>
        </w:rPr>
        <w:t>的银行承兑汇票，监理人应予以接受。</w:t>
      </w:r>
    </w:p>
    <w:p>
      <w:pPr>
        <w:snapToGrid w:val="0"/>
        <w:spacing w:line="500" w:lineRule="exact"/>
        <w:rPr>
          <w:rFonts w:ascii="宋体" w:hAnsi="宋体"/>
          <w:sz w:val="24"/>
          <w:szCs w:val="24"/>
        </w:rPr>
      </w:pPr>
      <w:r>
        <w:rPr>
          <w:rFonts w:hint="eastAsia" w:ascii="宋体" w:hAnsi="宋体"/>
          <w:sz w:val="24"/>
          <w:szCs w:val="24"/>
        </w:rPr>
        <w:t>6. 合同生效、变更、暂停、解除与终止</w:t>
      </w:r>
    </w:p>
    <w:p>
      <w:pPr>
        <w:snapToGrid w:val="0"/>
        <w:spacing w:line="500" w:lineRule="exact"/>
        <w:rPr>
          <w:rFonts w:ascii="宋体" w:hAnsi="宋体"/>
          <w:sz w:val="24"/>
          <w:szCs w:val="24"/>
        </w:rPr>
      </w:pPr>
      <w:r>
        <w:rPr>
          <w:rFonts w:hint="eastAsia" w:ascii="宋体" w:hAnsi="宋体"/>
          <w:sz w:val="24"/>
          <w:szCs w:val="24"/>
        </w:rPr>
        <w:t>6.1 生效</w:t>
      </w:r>
    </w:p>
    <w:p>
      <w:pPr>
        <w:snapToGrid w:val="0"/>
        <w:spacing w:line="500" w:lineRule="exact"/>
        <w:rPr>
          <w:rFonts w:ascii="宋体" w:hAnsi="宋体"/>
          <w:sz w:val="24"/>
          <w:szCs w:val="24"/>
        </w:rPr>
      </w:pPr>
      <w:r>
        <w:rPr>
          <w:rFonts w:hint="eastAsia" w:ascii="宋体" w:hAnsi="宋体"/>
          <w:sz w:val="24"/>
          <w:szCs w:val="24"/>
        </w:rPr>
        <w:t>本合同生效条件：双方签字盖章后立即生效  。</w:t>
      </w:r>
    </w:p>
    <w:p>
      <w:pPr>
        <w:snapToGrid w:val="0"/>
        <w:spacing w:line="500" w:lineRule="exact"/>
        <w:rPr>
          <w:rFonts w:ascii="宋体" w:hAnsi="宋体"/>
          <w:sz w:val="24"/>
          <w:szCs w:val="24"/>
        </w:rPr>
      </w:pPr>
      <w:r>
        <w:rPr>
          <w:rFonts w:hint="eastAsia" w:ascii="宋体" w:hAnsi="宋体"/>
          <w:sz w:val="24"/>
          <w:szCs w:val="24"/>
        </w:rPr>
        <w:t>7. 争议解决</w:t>
      </w:r>
    </w:p>
    <w:p>
      <w:pPr>
        <w:snapToGrid w:val="0"/>
        <w:spacing w:line="500" w:lineRule="exact"/>
        <w:rPr>
          <w:rFonts w:ascii="宋体" w:hAnsi="宋体"/>
          <w:sz w:val="24"/>
          <w:szCs w:val="24"/>
        </w:rPr>
      </w:pPr>
      <w:r>
        <w:rPr>
          <w:rFonts w:hint="eastAsia" w:ascii="宋体" w:hAnsi="宋体"/>
          <w:sz w:val="24"/>
          <w:szCs w:val="24"/>
        </w:rPr>
        <w:t>合同争议的最终解决方式为下列第   （2）   种方式：</w:t>
      </w:r>
    </w:p>
    <w:p>
      <w:pPr>
        <w:snapToGrid w:val="0"/>
        <w:spacing w:line="500" w:lineRule="exact"/>
        <w:rPr>
          <w:rFonts w:ascii="宋体" w:hAnsi="宋体"/>
          <w:sz w:val="24"/>
          <w:szCs w:val="24"/>
        </w:rPr>
      </w:pPr>
      <w:r>
        <w:rPr>
          <w:rFonts w:hint="eastAsia" w:ascii="宋体" w:hAnsi="宋体"/>
          <w:sz w:val="24"/>
          <w:szCs w:val="24"/>
        </w:rPr>
        <w:t>（1）提请  /      仲裁委员会进行仲裁。</w:t>
      </w:r>
    </w:p>
    <w:p>
      <w:pPr>
        <w:snapToGrid w:val="0"/>
        <w:spacing w:line="500" w:lineRule="exact"/>
        <w:rPr>
          <w:rFonts w:ascii="宋体" w:hAnsi="宋体"/>
          <w:sz w:val="24"/>
          <w:szCs w:val="24"/>
        </w:rPr>
      </w:pPr>
      <w:r>
        <w:rPr>
          <w:rFonts w:hint="eastAsia" w:ascii="宋体" w:hAnsi="宋体"/>
          <w:sz w:val="24"/>
          <w:szCs w:val="24"/>
        </w:rPr>
        <w:t>（2）向工程所在地人民法院提起诉讼。</w:t>
      </w:r>
    </w:p>
    <w:p>
      <w:pPr>
        <w:snapToGrid w:val="0"/>
        <w:spacing w:line="500" w:lineRule="exact"/>
        <w:rPr>
          <w:rFonts w:ascii="宋体" w:hAnsi="宋体"/>
          <w:sz w:val="24"/>
          <w:szCs w:val="24"/>
        </w:rPr>
      </w:pPr>
      <w:r>
        <w:rPr>
          <w:rFonts w:hint="eastAsia" w:ascii="宋体" w:hAnsi="宋体"/>
          <w:sz w:val="24"/>
          <w:szCs w:val="24"/>
        </w:rPr>
        <w:t>8. 其他</w:t>
      </w:r>
    </w:p>
    <w:p>
      <w:pPr>
        <w:snapToGrid w:val="0"/>
        <w:spacing w:line="500" w:lineRule="exact"/>
        <w:rPr>
          <w:rFonts w:ascii="宋体" w:hAnsi="宋体"/>
          <w:sz w:val="24"/>
          <w:szCs w:val="24"/>
        </w:rPr>
      </w:pPr>
      <w:r>
        <w:rPr>
          <w:rFonts w:hint="eastAsia" w:ascii="宋体" w:hAnsi="宋体"/>
          <w:sz w:val="24"/>
          <w:szCs w:val="24"/>
        </w:rPr>
        <w:t>8.2委托人免费提供现场办公用房及办公必要的设施（即办公桌、椅）。</w:t>
      </w:r>
    </w:p>
    <w:p>
      <w:pPr>
        <w:snapToGrid w:val="0"/>
        <w:spacing w:line="500" w:lineRule="exact"/>
        <w:rPr>
          <w:rFonts w:ascii="宋体" w:hAnsi="宋体"/>
          <w:sz w:val="24"/>
          <w:szCs w:val="24"/>
        </w:rPr>
      </w:pPr>
      <w:r>
        <w:rPr>
          <w:rFonts w:hint="eastAsia" w:ascii="宋体" w:hAnsi="宋体"/>
          <w:sz w:val="24"/>
          <w:szCs w:val="24"/>
        </w:rPr>
        <w:t>8.3监理人员在工程施工阶段所需的办公、生活用品、设施、设备及交通工具由监理人自行解决。</w:t>
      </w:r>
    </w:p>
    <w:p>
      <w:pPr>
        <w:snapToGrid w:val="0"/>
        <w:spacing w:line="500" w:lineRule="exact"/>
        <w:rPr>
          <w:rFonts w:ascii="宋体" w:hAnsi="宋体"/>
          <w:sz w:val="24"/>
          <w:szCs w:val="24"/>
        </w:rPr>
      </w:pPr>
      <w:r>
        <w:rPr>
          <w:rFonts w:hint="eastAsia" w:ascii="宋体" w:hAnsi="宋体"/>
          <w:sz w:val="24"/>
          <w:szCs w:val="24"/>
        </w:rPr>
        <w:t>8.4与工程配套使用的法律、条例、规定、规范、标准、图集等监理人无偿自备。</w:t>
      </w:r>
    </w:p>
    <w:p>
      <w:pPr>
        <w:snapToGrid w:val="0"/>
        <w:spacing w:line="500" w:lineRule="exact"/>
        <w:rPr>
          <w:rFonts w:ascii="宋体" w:hAnsi="宋体"/>
          <w:sz w:val="24"/>
          <w:szCs w:val="24"/>
        </w:rPr>
      </w:pPr>
    </w:p>
    <w:p>
      <w:pPr>
        <w:snapToGrid w:val="0"/>
        <w:spacing w:line="500" w:lineRule="exact"/>
        <w:rPr>
          <w:rFonts w:ascii="宋体" w:hAnsi="宋体"/>
          <w:sz w:val="24"/>
          <w:szCs w:val="24"/>
        </w:rPr>
      </w:pPr>
    </w:p>
    <w:p>
      <w:pPr>
        <w:rPr>
          <w:rFonts w:ascii="宋体" w:hAnsi="宋体"/>
          <w:b/>
          <w:szCs w:val="21"/>
        </w:rPr>
      </w:pPr>
      <w:r>
        <w:rPr>
          <w:rFonts w:hint="eastAsia" w:ascii="宋体" w:hAnsi="宋体"/>
          <w:b/>
          <w:szCs w:val="21"/>
        </w:rPr>
        <w:t>附件1：</w:t>
      </w:r>
    </w:p>
    <w:p>
      <w:pPr>
        <w:ind w:firstLine="720"/>
        <w:jc w:val="center"/>
        <w:rPr>
          <w:rFonts w:ascii="宋体" w:hAnsi="宋体"/>
          <w:b/>
          <w:sz w:val="28"/>
          <w:szCs w:val="28"/>
        </w:rPr>
      </w:pPr>
      <w:r>
        <w:rPr>
          <w:rFonts w:ascii="宋体" w:hAnsi="宋体"/>
          <w:b/>
          <w:sz w:val="28"/>
          <w:szCs w:val="28"/>
        </w:rPr>
        <w:t>对</w:t>
      </w:r>
      <w:r>
        <w:rPr>
          <w:rFonts w:hint="eastAsia" w:ascii="宋体" w:hAnsi="宋体"/>
          <w:b/>
          <w:sz w:val="28"/>
          <w:szCs w:val="28"/>
        </w:rPr>
        <w:t>监理人工作</w:t>
      </w:r>
      <w:r>
        <w:rPr>
          <w:rFonts w:ascii="宋体" w:hAnsi="宋体"/>
          <w:b/>
          <w:sz w:val="28"/>
          <w:szCs w:val="28"/>
        </w:rPr>
        <w:t>质量</w:t>
      </w:r>
      <w:r>
        <w:rPr>
          <w:rFonts w:hint="eastAsia" w:ascii="宋体" w:hAnsi="宋体"/>
          <w:b/>
          <w:sz w:val="28"/>
          <w:szCs w:val="28"/>
        </w:rPr>
        <w:t>的监督检查内容</w:t>
      </w:r>
    </w:p>
    <w:p>
      <w:pPr>
        <w:adjustRightInd w:val="0"/>
        <w:snapToGrid w:val="0"/>
        <w:spacing w:line="520" w:lineRule="exact"/>
        <w:ind w:firstLine="539"/>
        <w:rPr>
          <w:rFonts w:ascii="宋体" w:hAnsi="宋体"/>
          <w:sz w:val="24"/>
        </w:rPr>
      </w:pPr>
      <w:r>
        <w:rPr>
          <w:rFonts w:hint="eastAsia" w:ascii="宋体" w:hAnsi="宋体"/>
          <w:sz w:val="24"/>
        </w:rPr>
        <w:t>一、</w:t>
      </w:r>
      <w:r>
        <w:rPr>
          <w:rFonts w:ascii="宋体" w:hAnsi="宋体"/>
          <w:sz w:val="24"/>
        </w:rPr>
        <w:t>开工前</w:t>
      </w:r>
      <w:r>
        <w:rPr>
          <w:rFonts w:hint="eastAsia" w:ascii="宋体" w:hAnsi="宋体"/>
          <w:sz w:val="24"/>
        </w:rPr>
        <w:t>:</w:t>
      </w:r>
    </w:p>
    <w:p>
      <w:pPr>
        <w:adjustRightInd w:val="0"/>
        <w:snapToGrid w:val="0"/>
        <w:spacing w:line="520" w:lineRule="exact"/>
        <w:ind w:firstLine="539"/>
        <w:rPr>
          <w:rFonts w:ascii="宋体" w:hAnsi="宋体"/>
          <w:sz w:val="24"/>
        </w:rPr>
      </w:pPr>
      <w:r>
        <w:rPr>
          <w:rFonts w:ascii="宋体" w:hAnsi="宋体"/>
          <w:sz w:val="24"/>
        </w:rPr>
        <w:t>1、建立符合</w:t>
      </w:r>
      <w:r>
        <w:rPr>
          <w:rFonts w:hint="eastAsia" w:ascii="宋体" w:hAnsi="宋体"/>
          <w:sz w:val="24"/>
        </w:rPr>
        <w:t>招标文件</w:t>
      </w:r>
      <w:r>
        <w:rPr>
          <w:rFonts w:ascii="宋体" w:hAnsi="宋体"/>
          <w:sz w:val="24"/>
        </w:rPr>
        <w:t>规定、</w:t>
      </w:r>
      <w:r>
        <w:rPr>
          <w:rFonts w:hint="eastAsia" w:ascii="宋体" w:hAnsi="宋体"/>
          <w:sz w:val="24"/>
        </w:rPr>
        <w:t>投标文件承诺相符的专业</w:t>
      </w:r>
      <w:r>
        <w:rPr>
          <w:rFonts w:ascii="宋体" w:hAnsi="宋体"/>
          <w:sz w:val="24"/>
        </w:rPr>
        <w:t>配套齐全的项目监理班子，总监理工程师有任命书，监理工程师有资格证书</w:t>
      </w:r>
      <w:r>
        <w:rPr>
          <w:rFonts w:hint="eastAsia" w:ascii="宋体" w:hAnsi="宋体"/>
          <w:sz w:val="24"/>
        </w:rPr>
        <w:t>、并已提交执业手册</w:t>
      </w:r>
      <w:r>
        <w:rPr>
          <w:rFonts w:ascii="宋体" w:hAnsi="宋体"/>
          <w:sz w:val="24"/>
        </w:rPr>
        <w:t>；</w:t>
      </w:r>
    </w:p>
    <w:p>
      <w:pPr>
        <w:adjustRightInd w:val="0"/>
        <w:snapToGrid w:val="0"/>
        <w:spacing w:line="520" w:lineRule="exact"/>
        <w:ind w:firstLine="539"/>
        <w:rPr>
          <w:rFonts w:ascii="宋体" w:hAnsi="宋体"/>
          <w:sz w:val="24"/>
        </w:rPr>
      </w:pPr>
      <w:r>
        <w:rPr>
          <w:rFonts w:hint="eastAsia" w:ascii="宋体" w:hAnsi="宋体"/>
          <w:sz w:val="24"/>
        </w:rPr>
        <w:t>2</w:t>
      </w:r>
      <w:r>
        <w:rPr>
          <w:rFonts w:ascii="宋体" w:hAnsi="宋体"/>
          <w:sz w:val="24"/>
        </w:rPr>
        <w:t xml:space="preserve">、制定监理规划，按工程建设进度，分专业编制监理细则； </w:t>
      </w:r>
    </w:p>
    <w:p>
      <w:pPr>
        <w:adjustRightInd w:val="0"/>
        <w:snapToGrid w:val="0"/>
        <w:spacing w:line="520" w:lineRule="exact"/>
        <w:ind w:firstLine="539"/>
        <w:rPr>
          <w:rFonts w:ascii="宋体" w:hAnsi="宋体"/>
          <w:sz w:val="24"/>
        </w:rPr>
      </w:pPr>
      <w:r>
        <w:rPr>
          <w:rFonts w:hint="eastAsia" w:ascii="宋体" w:hAnsi="宋体"/>
          <w:sz w:val="24"/>
        </w:rPr>
        <w:t>3</w:t>
      </w:r>
      <w:r>
        <w:rPr>
          <w:rFonts w:ascii="宋体" w:hAnsi="宋体"/>
          <w:sz w:val="24"/>
        </w:rPr>
        <w:t>、协助</w:t>
      </w:r>
      <w:r>
        <w:rPr>
          <w:rFonts w:hint="eastAsia" w:ascii="宋体" w:hAnsi="宋体"/>
          <w:sz w:val="24"/>
          <w:szCs w:val="24"/>
        </w:rPr>
        <w:t>委托人</w:t>
      </w:r>
      <w:r>
        <w:rPr>
          <w:rFonts w:ascii="宋体" w:hAnsi="宋体"/>
          <w:sz w:val="24"/>
        </w:rPr>
        <w:t>组织设计交底及图纸会审，审查</w:t>
      </w:r>
      <w:r>
        <w:rPr>
          <w:rFonts w:hint="eastAsia" w:ascii="宋体" w:hAnsi="宋体"/>
          <w:sz w:val="24"/>
          <w:szCs w:val="24"/>
        </w:rPr>
        <w:t>承包人</w:t>
      </w:r>
      <w:r>
        <w:rPr>
          <w:rFonts w:ascii="宋体" w:hAnsi="宋体"/>
          <w:sz w:val="24"/>
        </w:rPr>
        <w:t>提交的施工组织设计、施工技术方案和施工进度计划并督促其实施；</w:t>
      </w:r>
    </w:p>
    <w:p>
      <w:pPr>
        <w:adjustRightInd w:val="0"/>
        <w:snapToGrid w:val="0"/>
        <w:spacing w:line="520" w:lineRule="exact"/>
        <w:ind w:firstLine="539"/>
        <w:rPr>
          <w:rFonts w:ascii="宋体" w:hAnsi="宋体"/>
          <w:sz w:val="24"/>
        </w:rPr>
      </w:pPr>
      <w:r>
        <w:rPr>
          <w:rFonts w:hint="eastAsia" w:ascii="宋体" w:hAnsi="宋体"/>
          <w:sz w:val="24"/>
        </w:rPr>
        <w:t>4</w:t>
      </w:r>
      <w:r>
        <w:rPr>
          <w:rFonts w:ascii="宋体" w:hAnsi="宋体"/>
          <w:sz w:val="24"/>
        </w:rPr>
        <w:t>、配齐与本工程相关的国家标准、规范、规程</w:t>
      </w:r>
      <w:r>
        <w:rPr>
          <w:rFonts w:hint="eastAsia" w:ascii="宋体" w:hAnsi="宋体"/>
          <w:sz w:val="24"/>
        </w:rPr>
        <w:t>及检测设备</w:t>
      </w:r>
      <w:r>
        <w:rPr>
          <w:rFonts w:ascii="宋体" w:hAnsi="宋体"/>
          <w:sz w:val="24"/>
        </w:rPr>
        <w:t>。</w:t>
      </w:r>
    </w:p>
    <w:p>
      <w:pPr>
        <w:adjustRightInd w:val="0"/>
        <w:snapToGrid w:val="0"/>
        <w:spacing w:line="520" w:lineRule="exact"/>
        <w:ind w:firstLine="539"/>
        <w:rPr>
          <w:rFonts w:ascii="宋体" w:hAnsi="宋体"/>
          <w:sz w:val="24"/>
        </w:rPr>
      </w:pPr>
      <w:r>
        <w:rPr>
          <w:rFonts w:hint="eastAsia" w:ascii="宋体" w:hAnsi="宋体"/>
          <w:sz w:val="24"/>
        </w:rPr>
        <w:t>二、</w:t>
      </w:r>
      <w:r>
        <w:rPr>
          <w:rFonts w:ascii="宋体" w:hAnsi="宋体"/>
          <w:sz w:val="24"/>
        </w:rPr>
        <w:t>施工过程中：</w:t>
      </w:r>
    </w:p>
    <w:p>
      <w:pPr>
        <w:adjustRightInd w:val="0"/>
        <w:snapToGrid w:val="0"/>
        <w:spacing w:line="520" w:lineRule="exact"/>
        <w:ind w:firstLine="539"/>
        <w:rPr>
          <w:rFonts w:ascii="宋体" w:hAnsi="宋体"/>
          <w:sz w:val="24"/>
        </w:rPr>
      </w:pPr>
      <w:r>
        <w:rPr>
          <w:rFonts w:ascii="宋体" w:hAnsi="宋体"/>
          <w:sz w:val="24"/>
        </w:rPr>
        <w:t>1、无转让工程业务的行为，与被监理工程的</w:t>
      </w:r>
      <w:r>
        <w:rPr>
          <w:rFonts w:hint="eastAsia" w:ascii="宋体" w:hAnsi="宋体"/>
          <w:sz w:val="24"/>
        </w:rPr>
        <w:t>承包人</w:t>
      </w:r>
      <w:r>
        <w:rPr>
          <w:rFonts w:ascii="宋体" w:hAnsi="宋体"/>
          <w:sz w:val="24"/>
        </w:rPr>
        <w:t xml:space="preserve">以及建筑材料、建筑构配件和设备供应商无隶属关系或者其他利害关系； </w:t>
      </w:r>
    </w:p>
    <w:p>
      <w:pPr>
        <w:adjustRightInd w:val="0"/>
        <w:snapToGrid w:val="0"/>
        <w:spacing w:line="520" w:lineRule="exact"/>
        <w:ind w:firstLine="539"/>
        <w:rPr>
          <w:rFonts w:ascii="宋体" w:hAnsi="宋体"/>
          <w:sz w:val="24"/>
        </w:rPr>
      </w:pPr>
      <w:r>
        <w:rPr>
          <w:rFonts w:ascii="宋体" w:hAnsi="宋体"/>
          <w:sz w:val="24"/>
        </w:rPr>
        <w:t>2、依照法律、法规、规范、标准和合同对施工质量实行监控，采取旁站、巡视和平行检验等形式进行监理，书面记录齐全；</w:t>
      </w:r>
    </w:p>
    <w:p>
      <w:pPr>
        <w:adjustRightInd w:val="0"/>
        <w:snapToGrid w:val="0"/>
        <w:spacing w:line="520" w:lineRule="exact"/>
        <w:ind w:firstLine="539"/>
        <w:rPr>
          <w:rFonts w:ascii="宋体" w:hAnsi="宋体"/>
          <w:sz w:val="24"/>
        </w:rPr>
      </w:pPr>
      <w:r>
        <w:rPr>
          <w:rFonts w:ascii="宋体" w:hAnsi="宋体"/>
          <w:sz w:val="24"/>
        </w:rPr>
        <w:t>A、执行原材料、半成品、构配件和设备的进场联合验收制度，有监理工程师签字；</w:t>
      </w:r>
    </w:p>
    <w:p>
      <w:pPr>
        <w:adjustRightInd w:val="0"/>
        <w:snapToGrid w:val="0"/>
        <w:spacing w:line="520" w:lineRule="exact"/>
        <w:ind w:firstLine="539"/>
        <w:rPr>
          <w:rFonts w:ascii="宋体" w:hAnsi="宋体"/>
          <w:sz w:val="24"/>
        </w:rPr>
      </w:pPr>
      <w:r>
        <w:rPr>
          <w:rFonts w:ascii="宋体" w:hAnsi="宋体"/>
          <w:sz w:val="24"/>
        </w:rPr>
        <w:t>B、执行见证检验制度；</w:t>
      </w:r>
    </w:p>
    <w:p>
      <w:pPr>
        <w:adjustRightInd w:val="0"/>
        <w:snapToGrid w:val="0"/>
        <w:spacing w:line="520" w:lineRule="exact"/>
        <w:ind w:firstLine="539"/>
        <w:rPr>
          <w:rFonts w:ascii="宋体" w:hAnsi="宋体"/>
          <w:sz w:val="24"/>
        </w:rPr>
      </w:pPr>
      <w:r>
        <w:rPr>
          <w:rFonts w:ascii="宋体" w:hAnsi="宋体"/>
          <w:sz w:val="24"/>
        </w:rPr>
        <w:t>C、按照监理规划进行监理，对开具的整改指令单形成封闭；</w:t>
      </w:r>
    </w:p>
    <w:p>
      <w:pPr>
        <w:adjustRightInd w:val="0"/>
        <w:snapToGrid w:val="0"/>
        <w:spacing w:line="520" w:lineRule="exact"/>
        <w:ind w:firstLine="539"/>
        <w:rPr>
          <w:rFonts w:ascii="宋体" w:hAnsi="宋体"/>
          <w:sz w:val="24"/>
        </w:rPr>
      </w:pPr>
      <w:r>
        <w:rPr>
          <w:rFonts w:ascii="宋体" w:hAnsi="宋体"/>
          <w:sz w:val="24"/>
        </w:rPr>
        <w:t>D、在工程验收的同时核查工程的质量保证资料；</w:t>
      </w:r>
    </w:p>
    <w:p>
      <w:pPr>
        <w:adjustRightInd w:val="0"/>
        <w:snapToGrid w:val="0"/>
        <w:spacing w:line="520" w:lineRule="exact"/>
        <w:ind w:firstLine="539"/>
        <w:rPr>
          <w:rFonts w:ascii="宋体" w:hAnsi="宋体"/>
          <w:sz w:val="24"/>
        </w:rPr>
      </w:pPr>
      <w:r>
        <w:rPr>
          <w:rFonts w:ascii="宋体" w:hAnsi="宋体"/>
          <w:sz w:val="24"/>
        </w:rPr>
        <w:t>E、编制监理月报，及时、真实记载监理日</w:t>
      </w:r>
      <w:r>
        <w:rPr>
          <w:rFonts w:hint="eastAsia" w:ascii="宋体" w:hAnsi="宋体"/>
          <w:sz w:val="24"/>
        </w:rPr>
        <w:t>志</w:t>
      </w:r>
      <w:r>
        <w:rPr>
          <w:rFonts w:ascii="宋体" w:hAnsi="宋体"/>
          <w:sz w:val="24"/>
        </w:rPr>
        <w:t>；</w:t>
      </w:r>
    </w:p>
    <w:p>
      <w:pPr>
        <w:adjustRightInd w:val="0"/>
        <w:snapToGrid w:val="0"/>
        <w:spacing w:line="520" w:lineRule="exact"/>
        <w:ind w:firstLine="539"/>
        <w:rPr>
          <w:rFonts w:ascii="宋体" w:hAnsi="宋体"/>
          <w:sz w:val="24"/>
        </w:rPr>
      </w:pPr>
      <w:r>
        <w:rPr>
          <w:rFonts w:ascii="宋体" w:hAnsi="宋体"/>
          <w:sz w:val="24"/>
        </w:rPr>
        <w:t>F、对重要原材料</w:t>
      </w:r>
      <w:r>
        <w:rPr>
          <w:rFonts w:hint="eastAsia" w:ascii="宋体" w:hAnsi="宋体"/>
          <w:sz w:val="24"/>
        </w:rPr>
        <w:t>、构配件、设备</w:t>
      </w:r>
      <w:r>
        <w:rPr>
          <w:rFonts w:ascii="宋体" w:hAnsi="宋体"/>
          <w:sz w:val="24"/>
        </w:rPr>
        <w:t>进行</w:t>
      </w:r>
      <w:r>
        <w:rPr>
          <w:rFonts w:hint="eastAsia" w:ascii="宋体" w:hAnsi="宋体"/>
          <w:sz w:val="24"/>
        </w:rPr>
        <w:t>随时检测</w:t>
      </w:r>
      <w:r>
        <w:rPr>
          <w:rFonts w:ascii="宋体" w:hAnsi="宋体"/>
          <w:sz w:val="24"/>
        </w:rPr>
        <w:t>，并有</w:t>
      </w:r>
      <w:r>
        <w:rPr>
          <w:rFonts w:hint="eastAsia" w:ascii="宋体" w:hAnsi="宋体"/>
          <w:sz w:val="24"/>
        </w:rPr>
        <w:t>检测</w:t>
      </w:r>
      <w:r>
        <w:rPr>
          <w:rFonts w:ascii="宋体" w:hAnsi="宋体"/>
          <w:sz w:val="24"/>
        </w:rPr>
        <w:t>报告；</w:t>
      </w:r>
    </w:p>
    <w:p>
      <w:pPr>
        <w:adjustRightInd w:val="0"/>
        <w:snapToGrid w:val="0"/>
        <w:spacing w:line="520" w:lineRule="exact"/>
        <w:ind w:firstLine="539"/>
        <w:rPr>
          <w:rFonts w:ascii="宋体" w:hAnsi="宋体"/>
          <w:sz w:val="24"/>
        </w:rPr>
      </w:pPr>
      <w:r>
        <w:rPr>
          <w:rFonts w:ascii="宋体" w:hAnsi="宋体"/>
          <w:sz w:val="24"/>
        </w:rPr>
        <w:t>G、采用先进的仪器、设备对实物质量进行检查，并有书面记录</w:t>
      </w:r>
      <w:r>
        <w:rPr>
          <w:rFonts w:hint="eastAsia" w:ascii="宋体" w:hAnsi="宋体"/>
          <w:sz w:val="24"/>
        </w:rPr>
        <w:t>；</w:t>
      </w:r>
    </w:p>
    <w:p>
      <w:pPr>
        <w:adjustRightInd w:val="0"/>
        <w:snapToGrid w:val="0"/>
        <w:spacing w:line="520" w:lineRule="exact"/>
        <w:ind w:firstLine="539"/>
        <w:rPr>
          <w:rFonts w:ascii="宋体" w:hAnsi="宋体"/>
          <w:sz w:val="24"/>
        </w:rPr>
      </w:pPr>
      <w:r>
        <w:rPr>
          <w:rFonts w:ascii="宋体" w:hAnsi="宋体"/>
          <w:sz w:val="24"/>
        </w:rPr>
        <w:t>3</w:t>
      </w:r>
      <w:r>
        <w:rPr>
          <w:rFonts w:hint="eastAsia" w:ascii="宋体" w:hAnsi="宋体"/>
          <w:sz w:val="24"/>
        </w:rPr>
        <w:t>、</w:t>
      </w:r>
      <w:r>
        <w:rPr>
          <w:rFonts w:ascii="宋体" w:hAnsi="宋体"/>
          <w:sz w:val="24"/>
        </w:rPr>
        <w:t>按照国家强制性标准或操作工艺，对分项工程或工序及时进行验收签认，及时出具</w:t>
      </w:r>
      <w:r>
        <w:rPr>
          <w:rFonts w:hint="eastAsia" w:ascii="宋体" w:hAnsi="宋体"/>
          <w:sz w:val="24"/>
        </w:rPr>
        <w:t>各分项工程</w:t>
      </w:r>
      <w:r>
        <w:rPr>
          <w:rFonts w:ascii="宋体" w:hAnsi="宋体"/>
          <w:sz w:val="24"/>
        </w:rPr>
        <w:t>书面监理评估报告；</w:t>
      </w:r>
    </w:p>
    <w:p>
      <w:pPr>
        <w:adjustRightInd w:val="0"/>
        <w:snapToGrid w:val="0"/>
        <w:spacing w:line="520" w:lineRule="exact"/>
        <w:ind w:firstLine="539"/>
        <w:rPr>
          <w:rFonts w:ascii="宋体" w:hAnsi="宋体"/>
          <w:sz w:val="24"/>
        </w:rPr>
      </w:pPr>
      <w:r>
        <w:rPr>
          <w:rFonts w:ascii="宋体" w:hAnsi="宋体"/>
          <w:sz w:val="24"/>
        </w:rPr>
        <w:t>4</w:t>
      </w:r>
      <w:r>
        <w:rPr>
          <w:rFonts w:hint="eastAsia" w:ascii="宋体" w:hAnsi="宋体"/>
          <w:sz w:val="24"/>
        </w:rPr>
        <w:t>、</w:t>
      </w:r>
      <w:r>
        <w:rPr>
          <w:rFonts w:ascii="宋体" w:hAnsi="宋体"/>
          <w:sz w:val="24"/>
        </w:rPr>
        <w:t>执行工程例会制度，有完整的会议纪要；</w:t>
      </w:r>
    </w:p>
    <w:p>
      <w:pPr>
        <w:adjustRightInd w:val="0"/>
        <w:snapToGrid w:val="0"/>
        <w:spacing w:line="520" w:lineRule="exact"/>
        <w:ind w:firstLine="539"/>
        <w:rPr>
          <w:rFonts w:ascii="宋体" w:hAnsi="宋体"/>
          <w:sz w:val="24"/>
        </w:rPr>
      </w:pPr>
      <w:r>
        <w:rPr>
          <w:rFonts w:ascii="宋体" w:hAnsi="宋体"/>
          <w:sz w:val="24"/>
        </w:rPr>
        <w:t>5、及时整理监理档案；</w:t>
      </w:r>
    </w:p>
    <w:p>
      <w:pPr>
        <w:adjustRightInd w:val="0"/>
        <w:snapToGrid w:val="0"/>
        <w:spacing w:line="520" w:lineRule="exact"/>
        <w:ind w:firstLine="539"/>
        <w:rPr>
          <w:rFonts w:ascii="宋体" w:hAnsi="宋体"/>
          <w:sz w:val="24"/>
        </w:rPr>
      </w:pPr>
      <w:r>
        <w:rPr>
          <w:rFonts w:ascii="宋体" w:hAnsi="宋体"/>
          <w:sz w:val="24"/>
        </w:rPr>
        <w:t>6、检查</w:t>
      </w:r>
      <w:r>
        <w:rPr>
          <w:rFonts w:hint="eastAsia" w:ascii="宋体" w:hAnsi="宋体"/>
          <w:sz w:val="24"/>
          <w:szCs w:val="24"/>
        </w:rPr>
        <w:t>承包人</w:t>
      </w:r>
      <w:r>
        <w:rPr>
          <w:rFonts w:ascii="宋体" w:hAnsi="宋体"/>
          <w:sz w:val="24"/>
        </w:rPr>
        <w:t>为避免施工过程对周围建筑物结构的影响所采取的措施及效果；</w:t>
      </w:r>
    </w:p>
    <w:p>
      <w:pPr>
        <w:adjustRightInd w:val="0"/>
        <w:snapToGrid w:val="0"/>
        <w:spacing w:line="520" w:lineRule="exact"/>
        <w:ind w:firstLine="539"/>
        <w:rPr>
          <w:rFonts w:ascii="宋体" w:hAnsi="宋体"/>
          <w:sz w:val="24"/>
        </w:rPr>
      </w:pPr>
      <w:r>
        <w:rPr>
          <w:rFonts w:hint="eastAsia" w:ascii="宋体" w:hAnsi="宋体"/>
          <w:sz w:val="24"/>
        </w:rPr>
        <w:t>7、</w:t>
      </w:r>
      <w:r>
        <w:rPr>
          <w:rFonts w:ascii="宋体" w:hAnsi="宋体"/>
          <w:sz w:val="24"/>
        </w:rPr>
        <w:t>无指定材料、设备的生产厂或供应商；</w:t>
      </w:r>
    </w:p>
    <w:p>
      <w:pPr>
        <w:adjustRightInd w:val="0"/>
        <w:snapToGrid w:val="0"/>
        <w:spacing w:line="520" w:lineRule="exact"/>
        <w:ind w:firstLine="539"/>
        <w:rPr>
          <w:rFonts w:ascii="宋体" w:hAnsi="宋体"/>
          <w:sz w:val="24"/>
        </w:rPr>
      </w:pPr>
      <w:r>
        <w:rPr>
          <w:rFonts w:hint="eastAsia" w:ascii="宋体" w:hAnsi="宋体"/>
          <w:sz w:val="24"/>
        </w:rPr>
        <w:t>8、</w:t>
      </w:r>
      <w:r>
        <w:rPr>
          <w:rFonts w:ascii="宋体" w:hAnsi="宋体"/>
          <w:sz w:val="24"/>
        </w:rPr>
        <w:t>对现场发现使用不合格材料、构配件、设备的现象和发生的质量事故，及时督促</w:t>
      </w:r>
      <w:r>
        <w:rPr>
          <w:rFonts w:hint="eastAsia" w:ascii="宋体" w:hAnsi="宋体"/>
          <w:sz w:val="24"/>
        </w:rPr>
        <w:t>并</w:t>
      </w:r>
      <w:r>
        <w:rPr>
          <w:rFonts w:ascii="宋体" w:hAnsi="宋体"/>
          <w:sz w:val="24"/>
        </w:rPr>
        <w:t>配合责任单位调查处理。</w:t>
      </w:r>
    </w:p>
    <w:p>
      <w:pPr>
        <w:adjustRightInd w:val="0"/>
        <w:snapToGrid w:val="0"/>
        <w:spacing w:line="520" w:lineRule="exact"/>
        <w:ind w:firstLine="539"/>
        <w:rPr>
          <w:rFonts w:ascii="宋体" w:hAnsi="宋体"/>
          <w:sz w:val="24"/>
        </w:rPr>
      </w:pPr>
      <w:r>
        <w:rPr>
          <w:rFonts w:hint="eastAsia" w:ascii="宋体" w:hAnsi="宋体"/>
          <w:sz w:val="24"/>
        </w:rPr>
        <w:t>9、按照招标文件的要求及投标文件的承诺配齐交通、通讯工具。</w:t>
      </w:r>
    </w:p>
    <w:sectPr>
      <w:headerReference r:id="rId12" w:type="even"/>
      <w:pgSz w:w="11907" w:h="16840"/>
      <w:pgMar w:top="1134" w:right="1134" w:bottom="1134" w:left="1134" w:header="794" w:footer="567" w:gutter="284"/>
      <w:cols w:space="425" w:num="1"/>
      <w:formProt w:val="0"/>
      <w:titlePg/>
      <w:docGrid w:linePitch="38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b/>
        <w:sz w:val="21"/>
        <w:szCs w:val="21"/>
      </w:rPr>
    </w:pPr>
    <w:r>
      <w:rPr>
        <w:rStyle w:val="20"/>
        <w:b/>
        <w:sz w:val="21"/>
        <w:szCs w:val="21"/>
      </w:rPr>
      <w:fldChar w:fldCharType="begin"/>
    </w:r>
    <w:r>
      <w:rPr>
        <w:rStyle w:val="20"/>
        <w:b/>
        <w:sz w:val="21"/>
        <w:szCs w:val="21"/>
      </w:rPr>
      <w:instrText xml:space="preserve">PAGE  </w:instrText>
    </w:r>
    <w:r>
      <w:rPr>
        <w:rStyle w:val="20"/>
        <w:b/>
        <w:sz w:val="21"/>
        <w:szCs w:val="21"/>
      </w:rPr>
      <w:fldChar w:fldCharType="separate"/>
    </w:r>
    <w:r>
      <w:rPr>
        <w:rStyle w:val="20"/>
        <w:b/>
        <w:sz w:val="21"/>
        <w:szCs w:val="21"/>
      </w:rPr>
      <w:t>8</w:t>
    </w:r>
    <w:r>
      <w:rPr>
        <w:rStyle w:val="20"/>
        <w:b/>
        <w:sz w:val="21"/>
        <w:szCs w:val="21"/>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fldChar w:fldCharType="begin"/>
    </w:r>
    <w:r>
      <w:instrText xml:space="preserve">PAGE   \* MERGEFORMAT</w:instrText>
    </w:r>
    <w:r>
      <w:fldChar w:fldCharType="separate"/>
    </w:r>
    <w:r>
      <w:rPr>
        <w:lang w:val="zh-CN"/>
      </w:rPr>
      <w:t>13</w:t>
    </w:r>
    <w:r>
      <w:rPr>
        <w:lang w:val="zh-CN"/>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pStyle w:val="14"/>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page" w:x="15335" w:y="38"/>
      <w:rPr>
        <w:rStyle w:val="20"/>
      </w:rPr>
    </w:pPr>
    <w:r>
      <w:fldChar w:fldCharType="begin"/>
    </w:r>
    <w:r>
      <w:rPr>
        <w:rStyle w:val="20"/>
      </w:rPr>
      <w:instrText xml:space="preserve">PAGE  </w:instrText>
    </w:r>
    <w:r>
      <w:fldChar w:fldCharType="separate"/>
    </w:r>
    <w:r>
      <w:rPr>
        <w:rStyle w:val="20"/>
      </w:rPr>
      <w:t>22</w:t>
    </w:r>
    <w:r>
      <w:fldChar w:fldCharType="end"/>
    </w:r>
  </w:p>
  <w:p>
    <w:pPr>
      <w:pStyle w:val="14"/>
      <w:framePr w:wrap="around" w:vAnchor="text" w:hAnchor="page" w:x="16006" w:y="206"/>
      <w:ind w:right="360"/>
      <w:rPr>
        <w:rStyle w:val="20"/>
      </w:rPr>
    </w:pPr>
  </w:p>
  <w:p>
    <w:pPr>
      <w:pStyle w:val="14"/>
      <w:ind w:firstLine="630" w:firstLineChars="350"/>
    </w:pPr>
    <w:r>
      <w:rPr>
        <w:rFonts w:hint="eastAsia"/>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fldChar w:fldCharType="begin"/>
    </w:r>
    <w:r>
      <w:rPr>
        <w:rStyle w:val="20"/>
      </w:rPr>
      <w:instrText xml:space="preserve">PAGE  </w:instrTex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Style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dotted" w:color="auto" w:sz="4" w:space="2"/>
      </w:pBdr>
      <w:jc w:val="right"/>
      <w:rPr>
        <w:i/>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12F30"/>
    <w:multiLevelType w:val="multilevel"/>
    <w:tmpl w:val="7BF12F30"/>
    <w:lvl w:ilvl="0" w:tentative="0">
      <w:start w:val="1"/>
      <w:numFmt w:val="decimal"/>
      <w:pStyle w:val="30"/>
      <w:isLgl/>
      <w:suff w:val="space"/>
      <w:lvlText w:val="%1."/>
      <w:lvlJc w:val="left"/>
      <w:rPr>
        <w:rFonts w:hint="eastAsia" w:eastAsia="黑体" w:cs="Times New Roman"/>
        <w:b/>
        <w:i w:val="0"/>
        <w:sz w:val="30"/>
        <w:szCs w:val="30"/>
      </w:rPr>
    </w:lvl>
    <w:lvl w:ilvl="1" w:tentative="0">
      <w:start w:val="1"/>
      <w:numFmt w:val="decimal"/>
      <w:isLgl/>
      <w:suff w:val="space"/>
      <w:lvlText w:val="%1.%2."/>
      <w:lvlJc w:val="left"/>
      <w:rPr>
        <w:rFonts w:hint="eastAsia" w:eastAsia="宋体" w:cs="Times New Roman"/>
        <w:b/>
        <w:i w:val="0"/>
        <w:sz w:val="24"/>
        <w:szCs w:val="24"/>
      </w:rPr>
    </w:lvl>
    <w:lvl w:ilvl="2" w:tentative="0">
      <w:start w:val="1"/>
      <w:numFmt w:val="decimal"/>
      <w:isLgl/>
      <w:suff w:val="space"/>
      <w:lvlText w:val="%1.%2.%3."/>
      <w:lvlJc w:val="left"/>
      <w:rPr>
        <w:rFonts w:hint="eastAsia" w:eastAsia="宋体" w:cs="Times New Roman"/>
        <w:b/>
        <w:i w:val="0"/>
        <w:sz w:val="21"/>
        <w:szCs w:val="21"/>
      </w:rPr>
    </w:lvl>
    <w:lvl w:ilvl="3" w:tentative="0">
      <w:start w:val="1"/>
      <w:numFmt w:val="decimal"/>
      <w:pStyle w:val="6"/>
      <w:suff w:val="space"/>
      <w:lvlText w:val="%1.%2.%3.%4."/>
      <w:lvlJc w:val="left"/>
      <w:rPr>
        <w:rFonts w:hint="eastAsia" w:eastAsia="宋体" w:cs="Times New Roman"/>
        <w:sz w:val="21"/>
        <w:szCs w:val="21"/>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MWRlZmUxOGVhZWIwMDM3MTY2MGZhNTY2ZDJlOWEifQ=="/>
  </w:docVars>
  <w:rsids>
    <w:rsidRoot w:val="00C550DC"/>
    <w:rsid w:val="000038F7"/>
    <w:rsid w:val="00003EB9"/>
    <w:rsid w:val="0000401F"/>
    <w:rsid w:val="000061C2"/>
    <w:rsid w:val="00010E1E"/>
    <w:rsid w:val="000146B7"/>
    <w:rsid w:val="000150DD"/>
    <w:rsid w:val="00016B78"/>
    <w:rsid w:val="00020249"/>
    <w:rsid w:val="00020A72"/>
    <w:rsid w:val="00030EE0"/>
    <w:rsid w:val="000333A5"/>
    <w:rsid w:val="00034332"/>
    <w:rsid w:val="0003466E"/>
    <w:rsid w:val="00040C4E"/>
    <w:rsid w:val="00042A3B"/>
    <w:rsid w:val="0004596E"/>
    <w:rsid w:val="000506B6"/>
    <w:rsid w:val="00051A17"/>
    <w:rsid w:val="00053804"/>
    <w:rsid w:val="000539E9"/>
    <w:rsid w:val="000541B5"/>
    <w:rsid w:val="00054779"/>
    <w:rsid w:val="00055EF1"/>
    <w:rsid w:val="000566E7"/>
    <w:rsid w:val="00057207"/>
    <w:rsid w:val="00057CDE"/>
    <w:rsid w:val="00060171"/>
    <w:rsid w:val="00060FD6"/>
    <w:rsid w:val="0006143D"/>
    <w:rsid w:val="00062A4C"/>
    <w:rsid w:val="00062CED"/>
    <w:rsid w:val="00062D75"/>
    <w:rsid w:val="0006394F"/>
    <w:rsid w:val="00066529"/>
    <w:rsid w:val="00066CD9"/>
    <w:rsid w:val="00066ECA"/>
    <w:rsid w:val="00071149"/>
    <w:rsid w:val="00071452"/>
    <w:rsid w:val="00071CA1"/>
    <w:rsid w:val="000736E6"/>
    <w:rsid w:val="00073E54"/>
    <w:rsid w:val="00076CCE"/>
    <w:rsid w:val="00080FB8"/>
    <w:rsid w:val="00081B10"/>
    <w:rsid w:val="00081E93"/>
    <w:rsid w:val="00082A98"/>
    <w:rsid w:val="000851AB"/>
    <w:rsid w:val="00087BA8"/>
    <w:rsid w:val="0009038C"/>
    <w:rsid w:val="000907FB"/>
    <w:rsid w:val="0009408D"/>
    <w:rsid w:val="00097AF3"/>
    <w:rsid w:val="000A1173"/>
    <w:rsid w:val="000A3181"/>
    <w:rsid w:val="000A4412"/>
    <w:rsid w:val="000A7BEE"/>
    <w:rsid w:val="000B2A9F"/>
    <w:rsid w:val="000B2E35"/>
    <w:rsid w:val="000B2F9D"/>
    <w:rsid w:val="000B6363"/>
    <w:rsid w:val="000C059B"/>
    <w:rsid w:val="000C7AA6"/>
    <w:rsid w:val="000D12AF"/>
    <w:rsid w:val="000D4D5B"/>
    <w:rsid w:val="000D6517"/>
    <w:rsid w:val="000D6C52"/>
    <w:rsid w:val="000D7AD1"/>
    <w:rsid w:val="000E09CB"/>
    <w:rsid w:val="000E0DD2"/>
    <w:rsid w:val="000E12F3"/>
    <w:rsid w:val="000E14DF"/>
    <w:rsid w:val="000E52BB"/>
    <w:rsid w:val="000E579F"/>
    <w:rsid w:val="000F03D1"/>
    <w:rsid w:val="000F07DE"/>
    <w:rsid w:val="000F0B63"/>
    <w:rsid w:val="000F0CE5"/>
    <w:rsid w:val="000F1AD3"/>
    <w:rsid w:val="000F338B"/>
    <w:rsid w:val="000F5946"/>
    <w:rsid w:val="000F5A49"/>
    <w:rsid w:val="000F77C0"/>
    <w:rsid w:val="00103C19"/>
    <w:rsid w:val="0010444B"/>
    <w:rsid w:val="00104CDC"/>
    <w:rsid w:val="0010535F"/>
    <w:rsid w:val="0010617F"/>
    <w:rsid w:val="00106658"/>
    <w:rsid w:val="001107C8"/>
    <w:rsid w:val="00110D5C"/>
    <w:rsid w:val="0011117E"/>
    <w:rsid w:val="0011202C"/>
    <w:rsid w:val="00112A94"/>
    <w:rsid w:val="0011499D"/>
    <w:rsid w:val="001165D4"/>
    <w:rsid w:val="00117C4C"/>
    <w:rsid w:val="00121760"/>
    <w:rsid w:val="0012212C"/>
    <w:rsid w:val="001221EA"/>
    <w:rsid w:val="001229B4"/>
    <w:rsid w:val="00125B67"/>
    <w:rsid w:val="00131050"/>
    <w:rsid w:val="0013149B"/>
    <w:rsid w:val="00133045"/>
    <w:rsid w:val="00133F39"/>
    <w:rsid w:val="00135DF1"/>
    <w:rsid w:val="0014046C"/>
    <w:rsid w:val="00140662"/>
    <w:rsid w:val="0014143F"/>
    <w:rsid w:val="0014154A"/>
    <w:rsid w:val="00144074"/>
    <w:rsid w:val="001445ED"/>
    <w:rsid w:val="00144A40"/>
    <w:rsid w:val="001471FF"/>
    <w:rsid w:val="00150D03"/>
    <w:rsid w:val="0015271F"/>
    <w:rsid w:val="001561B4"/>
    <w:rsid w:val="001632BC"/>
    <w:rsid w:val="00167B25"/>
    <w:rsid w:val="00171B19"/>
    <w:rsid w:val="001800E7"/>
    <w:rsid w:val="0018085D"/>
    <w:rsid w:val="001817A7"/>
    <w:rsid w:val="0018185A"/>
    <w:rsid w:val="00187DAB"/>
    <w:rsid w:val="0019266D"/>
    <w:rsid w:val="0019307E"/>
    <w:rsid w:val="0019477C"/>
    <w:rsid w:val="001950A9"/>
    <w:rsid w:val="0019609B"/>
    <w:rsid w:val="001A0872"/>
    <w:rsid w:val="001A0D1B"/>
    <w:rsid w:val="001A3238"/>
    <w:rsid w:val="001A4B7F"/>
    <w:rsid w:val="001A704D"/>
    <w:rsid w:val="001B0876"/>
    <w:rsid w:val="001B4A85"/>
    <w:rsid w:val="001B6E90"/>
    <w:rsid w:val="001B7A98"/>
    <w:rsid w:val="001C175E"/>
    <w:rsid w:val="001C1B91"/>
    <w:rsid w:val="001C292B"/>
    <w:rsid w:val="001C5283"/>
    <w:rsid w:val="001C6219"/>
    <w:rsid w:val="001C6F59"/>
    <w:rsid w:val="001C73EF"/>
    <w:rsid w:val="001C75B2"/>
    <w:rsid w:val="001C7633"/>
    <w:rsid w:val="001D03CC"/>
    <w:rsid w:val="001D3CBE"/>
    <w:rsid w:val="001D6137"/>
    <w:rsid w:val="001D6AF9"/>
    <w:rsid w:val="001D6D71"/>
    <w:rsid w:val="001D7E72"/>
    <w:rsid w:val="00200B40"/>
    <w:rsid w:val="002020E0"/>
    <w:rsid w:val="00203B34"/>
    <w:rsid w:val="002051E8"/>
    <w:rsid w:val="0020540E"/>
    <w:rsid w:val="00205BD1"/>
    <w:rsid w:val="0021048D"/>
    <w:rsid w:val="00215588"/>
    <w:rsid w:val="002155EB"/>
    <w:rsid w:val="002157D6"/>
    <w:rsid w:val="00215C99"/>
    <w:rsid w:val="0021656F"/>
    <w:rsid w:val="002167C8"/>
    <w:rsid w:val="002175BE"/>
    <w:rsid w:val="0022009D"/>
    <w:rsid w:val="0022016D"/>
    <w:rsid w:val="0022277A"/>
    <w:rsid w:val="002255EC"/>
    <w:rsid w:val="002270FD"/>
    <w:rsid w:val="002324EA"/>
    <w:rsid w:val="0023335F"/>
    <w:rsid w:val="00240BBB"/>
    <w:rsid w:val="00242344"/>
    <w:rsid w:val="002475DA"/>
    <w:rsid w:val="002506E3"/>
    <w:rsid w:val="0025690B"/>
    <w:rsid w:val="00260215"/>
    <w:rsid w:val="0026085E"/>
    <w:rsid w:val="00260D1C"/>
    <w:rsid w:val="00261E10"/>
    <w:rsid w:val="00262146"/>
    <w:rsid w:val="00262184"/>
    <w:rsid w:val="002638B0"/>
    <w:rsid w:val="002738FF"/>
    <w:rsid w:val="00273B19"/>
    <w:rsid w:val="00277051"/>
    <w:rsid w:val="00281C51"/>
    <w:rsid w:val="00281D50"/>
    <w:rsid w:val="00282C88"/>
    <w:rsid w:val="00283FE8"/>
    <w:rsid w:val="0028403F"/>
    <w:rsid w:val="00284827"/>
    <w:rsid w:val="00285642"/>
    <w:rsid w:val="00285B86"/>
    <w:rsid w:val="002863E1"/>
    <w:rsid w:val="00291D4B"/>
    <w:rsid w:val="00294CEF"/>
    <w:rsid w:val="002977AC"/>
    <w:rsid w:val="002A3AA8"/>
    <w:rsid w:val="002A539E"/>
    <w:rsid w:val="002A76A6"/>
    <w:rsid w:val="002B36A7"/>
    <w:rsid w:val="002B4CD4"/>
    <w:rsid w:val="002B55BF"/>
    <w:rsid w:val="002C3182"/>
    <w:rsid w:val="002C38EA"/>
    <w:rsid w:val="002C4EEC"/>
    <w:rsid w:val="002C5D6E"/>
    <w:rsid w:val="002D1637"/>
    <w:rsid w:val="002D2252"/>
    <w:rsid w:val="002D4F7C"/>
    <w:rsid w:val="002E1923"/>
    <w:rsid w:val="002E317D"/>
    <w:rsid w:val="002E361A"/>
    <w:rsid w:val="002E3909"/>
    <w:rsid w:val="002E468E"/>
    <w:rsid w:val="002E67C6"/>
    <w:rsid w:val="002F23D7"/>
    <w:rsid w:val="002F2777"/>
    <w:rsid w:val="002F3A92"/>
    <w:rsid w:val="002F3C77"/>
    <w:rsid w:val="002F5C32"/>
    <w:rsid w:val="00303BE5"/>
    <w:rsid w:val="00305029"/>
    <w:rsid w:val="00306C8C"/>
    <w:rsid w:val="00311398"/>
    <w:rsid w:val="00312F31"/>
    <w:rsid w:val="003146BB"/>
    <w:rsid w:val="00314BCB"/>
    <w:rsid w:val="00315870"/>
    <w:rsid w:val="00317051"/>
    <w:rsid w:val="00317D80"/>
    <w:rsid w:val="0032260A"/>
    <w:rsid w:val="00322B34"/>
    <w:rsid w:val="00322F6A"/>
    <w:rsid w:val="003238F9"/>
    <w:rsid w:val="00324929"/>
    <w:rsid w:val="0032558F"/>
    <w:rsid w:val="00326517"/>
    <w:rsid w:val="003272EF"/>
    <w:rsid w:val="00330486"/>
    <w:rsid w:val="00330BDD"/>
    <w:rsid w:val="00330F5E"/>
    <w:rsid w:val="003329D6"/>
    <w:rsid w:val="00335001"/>
    <w:rsid w:val="00340190"/>
    <w:rsid w:val="00342590"/>
    <w:rsid w:val="00342BCF"/>
    <w:rsid w:val="00347004"/>
    <w:rsid w:val="00347D5E"/>
    <w:rsid w:val="0035086F"/>
    <w:rsid w:val="00352E38"/>
    <w:rsid w:val="00353118"/>
    <w:rsid w:val="00353395"/>
    <w:rsid w:val="00357404"/>
    <w:rsid w:val="0036036C"/>
    <w:rsid w:val="003612E2"/>
    <w:rsid w:val="00362D6D"/>
    <w:rsid w:val="00363411"/>
    <w:rsid w:val="003651D3"/>
    <w:rsid w:val="0036604D"/>
    <w:rsid w:val="00370F41"/>
    <w:rsid w:val="00370FE7"/>
    <w:rsid w:val="003714F5"/>
    <w:rsid w:val="00371F1C"/>
    <w:rsid w:val="00371F9F"/>
    <w:rsid w:val="00373B53"/>
    <w:rsid w:val="00373CA7"/>
    <w:rsid w:val="003742B4"/>
    <w:rsid w:val="00374DFE"/>
    <w:rsid w:val="003833BF"/>
    <w:rsid w:val="00385D9A"/>
    <w:rsid w:val="00387AD9"/>
    <w:rsid w:val="0039498B"/>
    <w:rsid w:val="00396248"/>
    <w:rsid w:val="003A0A92"/>
    <w:rsid w:val="003A194F"/>
    <w:rsid w:val="003A3B69"/>
    <w:rsid w:val="003A695E"/>
    <w:rsid w:val="003B18CE"/>
    <w:rsid w:val="003B2C71"/>
    <w:rsid w:val="003B59AA"/>
    <w:rsid w:val="003B5A42"/>
    <w:rsid w:val="003C0582"/>
    <w:rsid w:val="003C1F53"/>
    <w:rsid w:val="003C4FE2"/>
    <w:rsid w:val="003C737A"/>
    <w:rsid w:val="003D0E62"/>
    <w:rsid w:val="003D15AF"/>
    <w:rsid w:val="003D25B9"/>
    <w:rsid w:val="003D3051"/>
    <w:rsid w:val="003D31C5"/>
    <w:rsid w:val="003E4946"/>
    <w:rsid w:val="003E5B3A"/>
    <w:rsid w:val="003F117B"/>
    <w:rsid w:val="003F127E"/>
    <w:rsid w:val="003F2A2D"/>
    <w:rsid w:val="003F641D"/>
    <w:rsid w:val="00400596"/>
    <w:rsid w:val="00400F75"/>
    <w:rsid w:val="00401F07"/>
    <w:rsid w:val="00402655"/>
    <w:rsid w:val="00404A4C"/>
    <w:rsid w:val="004051DA"/>
    <w:rsid w:val="00405F10"/>
    <w:rsid w:val="004121AA"/>
    <w:rsid w:val="00414464"/>
    <w:rsid w:val="00415DA9"/>
    <w:rsid w:val="004162C7"/>
    <w:rsid w:val="00417D65"/>
    <w:rsid w:val="00420327"/>
    <w:rsid w:val="00422F0C"/>
    <w:rsid w:val="00426658"/>
    <w:rsid w:val="00426C7B"/>
    <w:rsid w:val="004338C7"/>
    <w:rsid w:val="00435829"/>
    <w:rsid w:val="00435898"/>
    <w:rsid w:val="004371EF"/>
    <w:rsid w:val="00437C02"/>
    <w:rsid w:val="00437F33"/>
    <w:rsid w:val="004411D8"/>
    <w:rsid w:val="004415DF"/>
    <w:rsid w:val="00441AEF"/>
    <w:rsid w:val="00444517"/>
    <w:rsid w:val="004446DA"/>
    <w:rsid w:val="00444E61"/>
    <w:rsid w:val="0044545C"/>
    <w:rsid w:val="004459E6"/>
    <w:rsid w:val="00447058"/>
    <w:rsid w:val="00447125"/>
    <w:rsid w:val="00452A8B"/>
    <w:rsid w:val="00455062"/>
    <w:rsid w:val="00460DF3"/>
    <w:rsid w:val="00460DFB"/>
    <w:rsid w:val="004633B1"/>
    <w:rsid w:val="00463B4D"/>
    <w:rsid w:val="00464636"/>
    <w:rsid w:val="00465CE8"/>
    <w:rsid w:val="00467826"/>
    <w:rsid w:val="004741A3"/>
    <w:rsid w:val="00474DB9"/>
    <w:rsid w:val="00476149"/>
    <w:rsid w:val="00477AB3"/>
    <w:rsid w:val="00481C1F"/>
    <w:rsid w:val="004829D3"/>
    <w:rsid w:val="0048490C"/>
    <w:rsid w:val="00485514"/>
    <w:rsid w:val="0048722A"/>
    <w:rsid w:val="004873DA"/>
    <w:rsid w:val="004916C8"/>
    <w:rsid w:val="0049174F"/>
    <w:rsid w:val="00491C65"/>
    <w:rsid w:val="004944C0"/>
    <w:rsid w:val="004A1D7F"/>
    <w:rsid w:val="004A546B"/>
    <w:rsid w:val="004A64A3"/>
    <w:rsid w:val="004B00CC"/>
    <w:rsid w:val="004B113D"/>
    <w:rsid w:val="004B3299"/>
    <w:rsid w:val="004B33BF"/>
    <w:rsid w:val="004B45AB"/>
    <w:rsid w:val="004B7A57"/>
    <w:rsid w:val="004B7B16"/>
    <w:rsid w:val="004B7B8C"/>
    <w:rsid w:val="004C0BC7"/>
    <w:rsid w:val="004C25B5"/>
    <w:rsid w:val="004C5B67"/>
    <w:rsid w:val="004D21A5"/>
    <w:rsid w:val="004D3623"/>
    <w:rsid w:val="004D67DF"/>
    <w:rsid w:val="004D6FFB"/>
    <w:rsid w:val="004D7F70"/>
    <w:rsid w:val="004E047F"/>
    <w:rsid w:val="004E48D0"/>
    <w:rsid w:val="004E6ABB"/>
    <w:rsid w:val="004F2C35"/>
    <w:rsid w:val="004F3845"/>
    <w:rsid w:val="004F3E35"/>
    <w:rsid w:val="004F7538"/>
    <w:rsid w:val="004F79F4"/>
    <w:rsid w:val="005007FD"/>
    <w:rsid w:val="00501D9F"/>
    <w:rsid w:val="0050369D"/>
    <w:rsid w:val="00503A77"/>
    <w:rsid w:val="0050432E"/>
    <w:rsid w:val="005048B3"/>
    <w:rsid w:val="00510468"/>
    <w:rsid w:val="00512D2E"/>
    <w:rsid w:val="00513634"/>
    <w:rsid w:val="00514F1A"/>
    <w:rsid w:val="00515F9F"/>
    <w:rsid w:val="0051628A"/>
    <w:rsid w:val="005172CF"/>
    <w:rsid w:val="0051768D"/>
    <w:rsid w:val="00521950"/>
    <w:rsid w:val="0052252F"/>
    <w:rsid w:val="00523143"/>
    <w:rsid w:val="0053086C"/>
    <w:rsid w:val="0053087A"/>
    <w:rsid w:val="00530AEA"/>
    <w:rsid w:val="005310CD"/>
    <w:rsid w:val="00534574"/>
    <w:rsid w:val="00535751"/>
    <w:rsid w:val="00536571"/>
    <w:rsid w:val="00543E5F"/>
    <w:rsid w:val="005450AB"/>
    <w:rsid w:val="00547FB0"/>
    <w:rsid w:val="00551651"/>
    <w:rsid w:val="00552BB4"/>
    <w:rsid w:val="00553387"/>
    <w:rsid w:val="00553794"/>
    <w:rsid w:val="00555770"/>
    <w:rsid w:val="00556A70"/>
    <w:rsid w:val="005573EC"/>
    <w:rsid w:val="0056132F"/>
    <w:rsid w:val="00562DE4"/>
    <w:rsid w:val="0056475D"/>
    <w:rsid w:val="00570776"/>
    <w:rsid w:val="00571B7F"/>
    <w:rsid w:val="005734D6"/>
    <w:rsid w:val="00573A90"/>
    <w:rsid w:val="00576FE2"/>
    <w:rsid w:val="005771DC"/>
    <w:rsid w:val="00581715"/>
    <w:rsid w:val="00583993"/>
    <w:rsid w:val="00586C7C"/>
    <w:rsid w:val="00590207"/>
    <w:rsid w:val="00590DC0"/>
    <w:rsid w:val="00591258"/>
    <w:rsid w:val="005924B7"/>
    <w:rsid w:val="00593792"/>
    <w:rsid w:val="00593B67"/>
    <w:rsid w:val="005942E3"/>
    <w:rsid w:val="00594D93"/>
    <w:rsid w:val="00595249"/>
    <w:rsid w:val="00595C48"/>
    <w:rsid w:val="005A0A22"/>
    <w:rsid w:val="005A0A3D"/>
    <w:rsid w:val="005A1152"/>
    <w:rsid w:val="005A5C2C"/>
    <w:rsid w:val="005B0F60"/>
    <w:rsid w:val="005B3045"/>
    <w:rsid w:val="005B307D"/>
    <w:rsid w:val="005B37DB"/>
    <w:rsid w:val="005B38B9"/>
    <w:rsid w:val="005B54A7"/>
    <w:rsid w:val="005B593C"/>
    <w:rsid w:val="005C0AB0"/>
    <w:rsid w:val="005C2E2E"/>
    <w:rsid w:val="005C4DD1"/>
    <w:rsid w:val="005D2E30"/>
    <w:rsid w:val="005D6377"/>
    <w:rsid w:val="005E298A"/>
    <w:rsid w:val="005E6B30"/>
    <w:rsid w:val="005E6EF0"/>
    <w:rsid w:val="005E78E7"/>
    <w:rsid w:val="005F0335"/>
    <w:rsid w:val="005F0F29"/>
    <w:rsid w:val="005F15B3"/>
    <w:rsid w:val="005F2899"/>
    <w:rsid w:val="005F4087"/>
    <w:rsid w:val="005F6B0D"/>
    <w:rsid w:val="005F7C21"/>
    <w:rsid w:val="00603145"/>
    <w:rsid w:val="00603BCB"/>
    <w:rsid w:val="00612250"/>
    <w:rsid w:val="00612620"/>
    <w:rsid w:val="00613EE1"/>
    <w:rsid w:val="0061444F"/>
    <w:rsid w:val="00614C07"/>
    <w:rsid w:val="00621A30"/>
    <w:rsid w:val="0062278E"/>
    <w:rsid w:val="00622BBC"/>
    <w:rsid w:val="006244C4"/>
    <w:rsid w:val="006251D0"/>
    <w:rsid w:val="00625565"/>
    <w:rsid w:val="00625D12"/>
    <w:rsid w:val="006269F3"/>
    <w:rsid w:val="00627C40"/>
    <w:rsid w:val="0063322E"/>
    <w:rsid w:val="006350D0"/>
    <w:rsid w:val="0063567D"/>
    <w:rsid w:val="0064171A"/>
    <w:rsid w:val="00644C17"/>
    <w:rsid w:val="006450EB"/>
    <w:rsid w:val="00646051"/>
    <w:rsid w:val="00646A40"/>
    <w:rsid w:val="00651A71"/>
    <w:rsid w:val="00651AA0"/>
    <w:rsid w:val="006544F5"/>
    <w:rsid w:val="00661400"/>
    <w:rsid w:val="00661CFD"/>
    <w:rsid w:val="006663B7"/>
    <w:rsid w:val="00667540"/>
    <w:rsid w:val="00667DF3"/>
    <w:rsid w:val="006715FE"/>
    <w:rsid w:val="006738E3"/>
    <w:rsid w:val="00674D0C"/>
    <w:rsid w:val="00674EFC"/>
    <w:rsid w:val="00682C2E"/>
    <w:rsid w:val="00683594"/>
    <w:rsid w:val="00685FC8"/>
    <w:rsid w:val="00686081"/>
    <w:rsid w:val="006879D5"/>
    <w:rsid w:val="0069476A"/>
    <w:rsid w:val="00694814"/>
    <w:rsid w:val="006953BF"/>
    <w:rsid w:val="00697101"/>
    <w:rsid w:val="006A0082"/>
    <w:rsid w:val="006A1C3B"/>
    <w:rsid w:val="006A2780"/>
    <w:rsid w:val="006A3D8F"/>
    <w:rsid w:val="006A45C0"/>
    <w:rsid w:val="006A6242"/>
    <w:rsid w:val="006A695C"/>
    <w:rsid w:val="006A69D9"/>
    <w:rsid w:val="006B1541"/>
    <w:rsid w:val="006B1E11"/>
    <w:rsid w:val="006B2C2C"/>
    <w:rsid w:val="006B6EB6"/>
    <w:rsid w:val="006C01A1"/>
    <w:rsid w:val="006C2AE3"/>
    <w:rsid w:val="006C2EB6"/>
    <w:rsid w:val="006D3FD3"/>
    <w:rsid w:val="006D4366"/>
    <w:rsid w:val="006D455B"/>
    <w:rsid w:val="006E2B77"/>
    <w:rsid w:val="006E3E92"/>
    <w:rsid w:val="006E6302"/>
    <w:rsid w:val="006F10F2"/>
    <w:rsid w:val="006F2406"/>
    <w:rsid w:val="006F3D96"/>
    <w:rsid w:val="006F5941"/>
    <w:rsid w:val="006F708E"/>
    <w:rsid w:val="007048B6"/>
    <w:rsid w:val="00704D6A"/>
    <w:rsid w:val="00705C5B"/>
    <w:rsid w:val="00706353"/>
    <w:rsid w:val="007068B1"/>
    <w:rsid w:val="00706B76"/>
    <w:rsid w:val="00706C50"/>
    <w:rsid w:val="00706D63"/>
    <w:rsid w:val="00707C4A"/>
    <w:rsid w:val="00713841"/>
    <w:rsid w:val="007208CB"/>
    <w:rsid w:val="00721D43"/>
    <w:rsid w:val="00722F1C"/>
    <w:rsid w:val="00731C7D"/>
    <w:rsid w:val="00732451"/>
    <w:rsid w:val="00732A21"/>
    <w:rsid w:val="00733E99"/>
    <w:rsid w:val="00735C0A"/>
    <w:rsid w:val="00737EB9"/>
    <w:rsid w:val="0074024F"/>
    <w:rsid w:val="007422FB"/>
    <w:rsid w:val="00742EA3"/>
    <w:rsid w:val="007438A4"/>
    <w:rsid w:val="00745193"/>
    <w:rsid w:val="00753045"/>
    <w:rsid w:val="00756FDD"/>
    <w:rsid w:val="00762590"/>
    <w:rsid w:val="00765642"/>
    <w:rsid w:val="00766497"/>
    <w:rsid w:val="00770EBC"/>
    <w:rsid w:val="00775E69"/>
    <w:rsid w:val="007763C0"/>
    <w:rsid w:val="00776778"/>
    <w:rsid w:val="00783BF6"/>
    <w:rsid w:val="00784C13"/>
    <w:rsid w:val="0078513D"/>
    <w:rsid w:val="0078524A"/>
    <w:rsid w:val="00787060"/>
    <w:rsid w:val="00791796"/>
    <w:rsid w:val="00791B61"/>
    <w:rsid w:val="0079264F"/>
    <w:rsid w:val="00792C9F"/>
    <w:rsid w:val="00793AE7"/>
    <w:rsid w:val="007A51BC"/>
    <w:rsid w:val="007A5847"/>
    <w:rsid w:val="007B1E4D"/>
    <w:rsid w:val="007B23DC"/>
    <w:rsid w:val="007B274F"/>
    <w:rsid w:val="007B2F4F"/>
    <w:rsid w:val="007C03E2"/>
    <w:rsid w:val="007C1BDC"/>
    <w:rsid w:val="007C39E9"/>
    <w:rsid w:val="007C7325"/>
    <w:rsid w:val="007D103A"/>
    <w:rsid w:val="007D340C"/>
    <w:rsid w:val="007E795E"/>
    <w:rsid w:val="007F0E6C"/>
    <w:rsid w:val="007F0EAA"/>
    <w:rsid w:val="007F2363"/>
    <w:rsid w:val="007F5B78"/>
    <w:rsid w:val="007F69C9"/>
    <w:rsid w:val="008004CC"/>
    <w:rsid w:val="008037BF"/>
    <w:rsid w:val="00803AB8"/>
    <w:rsid w:val="008051BC"/>
    <w:rsid w:val="008153B3"/>
    <w:rsid w:val="00815667"/>
    <w:rsid w:val="00815B27"/>
    <w:rsid w:val="008205FE"/>
    <w:rsid w:val="00823A7A"/>
    <w:rsid w:val="00824A56"/>
    <w:rsid w:val="00825E11"/>
    <w:rsid w:val="00826AF4"/>
    <w:rsid w:val="00834EB7"/>
    <w:rsid w:val="008426DA"/>
    <w:rsid w:val="00843A4D"/>
    <w:rsid w:val="00844249"/>
    <w:rsid w:val="00845764"/>
    <w:rsid w:val="00846B96"/>
    <w:rsid w:val="00846BC9"/>
    <w:rsid w:val="008477CD"/>
    <w:rsid w:val="008501F8"/>
    <w:rsid w:val="00856649"/>
    <w:rsid w:val="0085764E"/>
    <w:rsid w:val="00860122"/>
    <w:rsid w:val="00861523"/>
    <w:rsid w:val="008626DE"/>
    <w:rsid w:val="008649B3"/>
    <w:rsid w:val="00865374"/>
    <w:rsid w:val="0086764B"/>
    <w:rsid w:val="00872DEE"/>
    <w:rsid w:val="00873D6D"/>
    <w:rsid w:val="00873F31"/>
    <w:rsid w:val="00875388"/>
    <w:rsid w:val="008757FA"/>
    <w:rsid w:val="00875F61"/>
    <w:rsid w:val="0088177C"/>
    <w:rsid w:val="00883478"/>
    <w:rsid w:val="00884318"/>
    <w:rsid w:val="0088690B"/>
    <w:rsid w:val="00892C6B"/>
    <w:rsid w:val="00894EA2"/>
    <w:rsid w:val="0089545D"/>
    <w:rsid w:val="00895AFD"/>
    <w:rsid w:val="0089600D"/>
    <w:rsid w:val="00897AB2"/>
    <w:rsid w:val="00897AB9"/>
    <w:rsid w:val="008A6194"/>
    <w:rsid w:val="008B22EC"/>
    <w:rsid w:val="008B3271"/>
    <w:rsid w:val="008B4727"/>
    <w:rsid w:val="008B5631"/>
    <w:rsid w:val="008B7E58"/>
    <w:rsid w:val="008C154F"/>
    <w:rsid w:val="008C2286"/>
    <w:rsid w:val="008C3F64"/>
    <w:rsid w:val="008C62D7"/>
    <w:rsid w:val="008C6A71"/>
    <w:rsid w:val="008C7DB3"/>
    <w:rsid w:val="008C7F48"/>
    <w:rsid w:val="008D0546"/>
    <w:rsid w:val="008D08A2"/>
    <w:rsid w:val="008D544E"/>
    <w:rsid w:val="008D7DEC"/>
    <w:rsid w:val="008E0744"/>
    <w:rsid w:val="008E196C"/>
    <w:rsid w:val="008E71E1"/>
    <w:rsid w:val="008F4769"/>
    <w:rsid w:val="00900C80"/>
    <w:rsid w:val="0090121B"/>
    <w:rsid w:val="00901C5A"/>
    <w:rsid w:val="00902368"/>
    <w:rsid w:val="00902CAB"/>
    <w:rsid w:val="00904C8F"/>
    <w:rsid w:val="009063D7"/>
    <w:rsid w:val="00907B5E"/>
    <w:rsid w:val="00907FCD"/>
    <w:rsid w:val="009126D6"/>
    <w:rsid w:val="00913A96"/>
    <w:rsid w:val="0091432B"/>
    <w:rsid w:val="009143CE"/>
    <w:rsid w:val="00915E3D"/>
    <w:rsid w:val="00916032"/>
    <w:rsid w:val="00916D6A"/>
    <w:rsid w:val="00920DA9"/>
    <w:rsid w:val="009222AC"/>
    <w:rsid w:val="00922FF9"/>
    <w:rsid w:val="0092303E"/>
    <w:rsid w:val="00926DB0"/>
    <w:rsid w:val="009279F1"/>
    <w:rsid w:val="00931441"/>
    <w:rsid w:val="00932031"/>
    <w:rsid w:val="00932B9C"/>
    <w:rsid w:val="00933F6D"/>
    <w:rsid w:val="00934C79"/>
    <w:rsid w:val="00937AC9"/>
    <w:rsid w:val="0094012F"/>
    <w:rsid w:val="00940E31"/>
    <w:rsid w:val="00942A08"/>
    <w:rsid w:val="00944B2E"/>
    <w:rsid w:val="00945EEC"/>
    <w:rsid w:val="0094757C"/>
    <w:rsid w:val="009515FE"/>
    <w:rsid w:val="009520E7"/>
    <w:rsid w:val="0095275C"/>
    <w:rsid w:val="00953311"/>
    <w:rsid w:val="0095339E"/>
    <w:rsid w:val="0095479F"/>
    <w:rsid w:val="009557F0"/>
    <w:rsid w:val="00957D25"/>
    <w:rsid w:val="0096085B"/>
    <w:rsid w:val="009612D2"/>
    <w:rsid w:val="009624F0"/>
    <w:rsid w:val="009676CF"/>
    <w:rsid w:val="00967D04"/>
    <w:rsid w:val="00967F90"/>
    <w:rsid w:val="00972020"/>
    <w:rsid w:val="009726AB"/>
    <w:rsid w:val="00972D67"/>
    <w:rsid w:val="00972F09"/>
    <w:rsid w:val="0097325F"/>
    <w:rsid w:val="009736A4"/>
    <w:rsid w:val="009744BA"/>
    <w:rsid w:val="00975B51"/>
    <w:rsid w:val="00977909"/>
    <w:rsid w:val="009802AE"/>
    <w:rsid w:val="0098472B"/>
    <w:rsid w:val="0098540D"/>
    <w:rsid w:val="009866BB"/>
    <w:rsid w:val="0099001F"/>
    <w:rsid w:val="00990083"/>
    <w:rsid w:val="0099029A"/>
    <w:rsid w:val="00990833"/>
    <w:rsid w:val="00991AE6"/>
    <w:rsid w:val="0099380E"/>
    <w:rsid w:val="00994EEA"/>
    <w:rsid w:val="00995D9B"/>
    <w:rsid w:val="0099776B"/>
    <w:rsid w:val="009A160D"/>
    <w:rsid w:val="009A16EC"/>
    <w:rsid w:val="009A548F"/>
    <w:rsid w:val="009A619B"/>
    <w:rsid w:val="009A6761"/>
    <w:rsid w:val="009B1254"/>
    <w:rsid w:val="009B602D"/>
    <w:rsid w:val="009B6F12"/>
    <w:rsid w:val="009B7F22"/>
    <w:rsid w:val="009C07DE"/>
    <w:rsid w:val="009C23F7"/>
    <w:rsid w:val="009C2F14"/>
    <w:rsid w:val="009C4E10"/>
    <w:rsid w:val="009D043B"/>
    <w:rsid w:val="009D0D67"/>
    <w:rsid w:val="009D2EE9"/>
    <w:rsid w:val="009D353A"/>
    <w:rsid w:val="009D3CD4"/>
    <w:rsid w:val="009D3FAB"/>
    <w:rsid w:val="009D59BA"/>
    <w:rsid w:val="009D6BF0"/>
    <w:rsid w:val="009D70E3"/>
    <w:rsid w:val="009D7867"/>
    <w:rsid w:val="009D7B99"/>
    <w:rsid w:val="009E5D5B"/>
    <w:rsid w:val="009E6524"/>
    <w:rsid w:val="009E68DF"/>
    <w:rsid w:val="009F12E9"/>
    <w:rsid w:val="009F3AD8"/>
    <w:rsid w:val="009F4AA8"/>
    <w:rsid w:val="009F6CF2"/>
    <w:rsid w:val="009F7DCD"/>
    <w:rsid w:val="00A00E17"/>
    <w:rsid w:val="00A020C2"/>
    <w:rsid w:val="00A02317"/>
    <w:rsid w:val="00A04DAB"/>
    <w:rsid w:val="00A05798"/>
    <w:rsid w:val="00A05D81"/>
    <w:rsid w:val="00A0648B"/>
    <w:rsid w:val="00A06DDA"/>
    <w:rsid w:val="00A07C7D"/>
    <w:rsid w:val="00A10C28"/>
    <w:rsid w:val="00A113E4"/>
    <w:rsid w:val="00A11475"/>
    <w:rsid w:val="00A118E2"/>
    <w:rsid w:val="00A11FB2"/>
    <w:rsid w:val="00A16D89"/>
    <w:rsid w:val="00A2057E"/>
    <w:rsid w:val="00A246DC"/>
    <w:rsid w:val="00A26CBB"/>
    <w:rsid w:val="00A305D4"/>
    <w:rsid w:val="00A35280"/>
    <w:rsid w:val="00A35627"/>
    <w:rsid w:val="00A4672B"/>
    <w:rsid w:val="00A511FF"/>
    <w:rsid w:val="00A522E8"/>
    <w:rsid w:val="00A52319"/>
    <w:rsid w:val="00A54F2F"/>
    <w:rsid w:val="00A57164"/>
    <w:rsid w:val="00A60FC7"/>
    <w:rsid w:val="00A614C7"/>
    <w:rsid w:val="00A656EE"/>
    <w:rsid w:val="00A70DFD"/>
    <w:rsid w:val="00A715F5"/>
    <w:rsid w:val="00A72217"/>
    <w:rsid w:val="00A7348F"/>
    <w:rsid w:val="00A73D56"/>
    <w:rsid w:val="00A7548F"/>
    <w:rsid w:val="00A844D2"/>
    <w:rsid w:val="00A84F56"/>
    <w:rsid w:val="00A90B58"/>
    <w:rsid w:val="00A93B59"/>
    <w:rsid w:val="00A94DDF"/>
    <w:rsid w:val="00A956F3"/>
    <w:rsid w:val="00AA066E"/>
    <w:rsid w:val="00AA0C8D"/>
    <w:rsid w:val="00AA1A91"/>
    <w:rsid w:val="00AA5764"/>
    <w:rsid w:val="00AA6058"/>
    <w:rsid w:val="00AB0A1E"/>
    <w:rsid w:val="00AB0F94"/>
    <w:rsid w:val="00AB11FA"/>
    <w:rsid w:val="00AB22E7"/>
    <w:rsid w:val="00AB3362"/>
    <w:rsid w:val="00AB410D"/>
    <w:rsid w:val="00AB65EF"/>
    <w:rsid w:val="00AC0F16"/>
    <w:rsid w:val="00AC43F1"/>
    <w:rsid w:val="00AC5CA2"/>
    <w:rsid w:val="00AC767E"/>
    <w:rsid w:val="00AD2976"/>
    <w:rsid w:val="00AD5F47"/>
    <w:rsid w:val="00AD6767"/>
    <w:rsid w:val="00AE1154"/>
    <w:rsid w:val="00AE13CD"/>
    <w:rsid w:val="00AE20E4"/>
    <w:rsid w:val="00AE3281"/>
    <w:rsid w:val="00AF4D4D"/>
    <w:rsid w:val="00AF63D8"/>
    <w:rsid w:val="00AF6A89"/>
    <w:rsid w:val="00AF7399"/>
    <w:rsid w:val="00B02D2E"/>
    <w:rsid w:val="00B0358C"/>
    <w:rsid w:val="00B05183"/>
    <w:rsid w:val="00B13126"/>
    <w:rsid w:val="00B135D5"/>
    <w:rsid w:val="00B14E33"/>
    <w:rsid w:val="00B1649F"/>
    <w:rsid w:val="00B2107C"/>
    <w:rsid w:val="00B2709A"/>
    <w:rsid w:val="00B27B8A"/>
    <w:rsid w:val="00B27EC3"/>
    <w:rsid w:val="00B32052"/>
    <w:rsid w:val="00B3246F"/>
    <w:rsid w:val="00B325E7"/>
    <w:rsid w:val="00B33757"/>
    <w:rsid w:val="00B4046D"/>
    <w:rsid w:val="00B41B2B"/>
    <w:rsid w:val="00B425B5"/>
    <w:rsid w:val="00B45F2E"/>
    <w:rsid w:val="00B4611A"/>
    <w:rsid w:val="00B471BB"/>
    <w:rsid w:val="00B47A3B"/>
    <w:rsid w:val="00B50AB6"/>
    <w:rsid w:val="00B512E4"/>
    <w:rsid w:val="00B51C07"/>
    <w:rsid w:val="00B528EE"/>
    <w:rsid w:val="00B55096"/>
    <w:rsid w:val="00B5734D"/>
    <w:rsid w:val="00B64454"/>
    <w:rsid w:val="00B64C31"/>
    <w:rsid w:val="00B6735E"/>
    <w:rsid w:val="00B730DC"/>
    <w:rsid w:val="00B74059"/>
    <w:rsid w:val="00B82557"/>
    <w:rsid w:val="00B826B0"/>
    <w:rsid w:val="00B836EA"/>
    <w:rsid w:val="00B87A78"/>
    <w:rsid w:val="00B90249"/>
    <w:rsid w:val="00B9067E"/>
    <w:rsid w:val="00B90A6B"/>
    <w:rsid w:val="00B95508"/>
    <w:rsid w:val="00B965ED"/>
    <w:rsid w:val="00B9762D"/>
    <w:rsid w:val="00B9764F"/>
    <w:rsid w:val="00B97A38"/>
    <w:rsid w:val="00BA1A05"/>
    <w:rsid w:val="00BA4263"/>
    <w:rsid w:val="00BA4C81"/>
    <w:rsid w:val="00BA70A3"/>
    <w:rsid w:val="00BB092B"/>
    <w:rsid w:val="00BB2594"/>
    <w:rsid w:val="00BB32AD"/>
    <w:rsid w:val="00BB53BA"/>
    <w:rsid w:val="00BC0AAF"/>
    <w:rsid w:val="00BC29F9"/>
    <w:rsid w:val="00BC372E"/>
    <w:rsid w:val="00BC3F2D"/>
    <w:rsid w:val="00BC5BBB"/>
    <w:rsid w:val="00BD0B6F"/>
    <w:rsid w:val="00BD2DC7"/>
    <w:rsid w:val="00BD33D3"/>
    <w:rsid w:val="00BD71CA"/>
    <w:rsid w:val="00BE2B18"/>
    <w:rsid w:val="00BE30BD"/>
    <w:rsid w:val="00BE4CFD"/>
    <w:rsid w:val="00BE4D61"/>
    <w:rsid w:val="00BE4FF5"/>
    <w:rsid w:val="00BE637D"/>
    <w:rsid w:val="00BF159A"/>
    <w:rsid w:val="00BF27D6"/>
    <w:rsid w:val="00BF2C1E"/>
    <w:rsid w:val="00BF30BC"/>
    <w:rsid w:val="00BF4C46"/>
    <w:rsid w:val="00BF4DD3"/>
    <w:rsid w:val="00BF59A1"/>
    <w:rsid w:val="00BF73B1"/>
    <w:rsid w:val="00C02545"/>
    <w:rsid w:val="00C027D0"/>
    <w:rsid w:val="00C046B9"/>
    <w:rsid w:val="00C06BE2"/>
    <w:rsid w:val="00C06D4B"/>
    <w:rsid w:val="00C06F6C"/>
    <w:rsid w:val="00C10033"/>
    <w:rsid w:val="00C10BB5"/>
    <w:rsid w:val="00C127BC"/>
    <w:rsid w:val="00C151C8"/>
    <w:rsid w:val="00C17666"/>
    <w:rsid w:val="00C20153"/>
    <w:rsid w:val="00C2522C"/>
    <w:rsid w:val="00C30AEB"/>
    <w:rsid w:val="00C3266C"/>
    <w:rsid w:val="00C33593"/>
    <w:rsid w:val="00C336AC"/>
    <w:rsid w:val="00C338FA"/>
    <w:rsid w:val="00C33E99"/>
    <w:rsid w:val="00C34ADC"/>
    <w:rsid w:val="00C34F0B"/>
    <w:rsid w:val="00C34F65"/>
    <w:rsid w:val="00C361AB"/>
    <w:rsid w:val="00C3628D"/>
    <w:rsid w:val="00C4674A"/>
    <w:rsid w:val="00C5143B"/>
    <w:rsid w:val="00C51817"/>
    <w:rsid w:val="00C550DC"/>
    <w:rsid w:val="00C55CC0"/>
    <w:rsid w:val="00C5780A"/>
    <w:rsid w:val="00C618B6"/>
    <w:rsid w:val="00C63C02"/>
    <w:rsid w:val="00C67384"/>
    <w:rsid w:val="00C6783B"/>
    <w:rsid w:val="00C67865"/>
    <w:rsid w:val="00C70B3E"/>
    <w:rsid w:val="00C73220"/>
    <w:rsid w:val="00C774D7"/>
    <w:rsid w:val="00C77583"/>
    <w:rsid w:val="00C81668"/>
    <w:rsid w:val="00C82113"/>
    <w:rsid w:val="00C82541"/>
    <w:rsid w:val="00C826CB"/>
    <w:rsid w:val="00C83803"/>
    <w:rsid w:val="00C838C9"/>
    <w:rsid w:val="00C84DC9"/>
    <w:rsid w:val="00C90E6A"/>
    <w:rsid w:val="00C92AB5"/>
    <w:rsid w:val="00C93947"/>
    <w:rsid w:val="00C94B13"/>
    <w:rsid w:val="00C95619"/>
    <w:rsid w:val="00C961ED"/>
    <w:rsid w:val="00C962B5"/>
    <w:rsid w:val="00C97E03"/>
    <w:rsid w:val="00CA086B"/>
    <w:rsid w:val="00CA3C5D"/>
    <w:rsid w:val="00CA4414"/>
    <w:rsid w:val="00CA66F3"/>
    <w:rsid w:val="00CA7B3D"/>
    <w:rsid w:val="00CB01F2"/>
    <w:rsid w:val="00CB0893"/>
    <w:rsid w:val="00CB2AE6"/>
    <w:rsid w:val="00CB47CC"/>
    <w:rsid w:val="00CB4F76"/>
    <w:rsid w:val="00CB5C07"/>
    <w:rsid w:val="00CB7C1F"/>
    <w:rsid w:val="00CC0C18"/>
    <w:rsid w:val="00CC1AAD"/>
    <w:rsid w:val="00CC22B5"/>
    <w:rsid w:val="00CC39ED"/>
    <w:rsid w:val="00CC3E73"/>
    <w:rsid w:val="00CC4CC1"/>
    <w:rsid w:val="00CC4FF9"/>
    <w:rsid w:val="00CC4FFD"/>
    <w:rsid w:val="00CC5D27"/>
    <w:rsid w:val="00CD27F6"/>
    <w:rsid w:val="00CD54E5"/>
    <w:rsid w:val="00CE0239"/>
    <w:rsid w:val="00CE0A4E"/>
    <w:rsid w:val="00CE3C9B"/>
    <w:rsid w:val="00CE5F5A"/>
    <w:rsid w:val="00CF0EF2"/>
    <w:rsid w:val="00CF6803"/>
    <w:rsid w:val="00D02B01"/>
    <w:rsid w:val="00D03DF4"/>
    <w:rsid w:val="00D04F40"/>
    <w:rsid w:val="00D12DB0"/>
    <w:rsid w:val="00D144BC"/>
    <w:rsid w:val="00D16D53"/>
    <w:rsid w:val="00D175B8"/>
    <w:rsid w:val="00D20FF4"/>
    <w:rsid w:val="00D212BA"/>
    <w:rsid w:val="00D21D42"/>
    <w:rsid w:val="00D22D7C"/>
    <w:rsid w:val="00D23F41"/>
    <w:rsid w:val="00D255EC"/>
    <w:rsid w:val="00D270BB"/>
    <w:rsid w:val="00D3006E"/>
    <w:rsid w:val="00D31896"/>
    <w:rsid w:val="00D32D8E"/>
    <w:rsid w:val="00D436BF"/>
    <w:rsid w:val="00D4434F"/>
    <w:rsid w:val="00D47247"/>
    <w:rsid w:val="00D51955"/>
    <w:rsid w:val="00D52ADE"/>
    <w:rsid w:val="00D54AD6"/>
    <w:rsid w:val="00D56DE0"/>
    <w:rsid w:val="00D57B5E"/>
    <w:rsid w:val="00D6086E"/>
    <w:rsid w:val="00D611AA"/>
    <w:rsid w:val="00D61B6E"/>
    <w:rsid w:val="00D62381"/>
    <w:rsid w:val="00D628A9"/>
    <w:rsid w:val="00D630DB"/>
    <w:rsid w:val="00D64930"/>
    <w:rsid w:val="00D73F2C"/>
    <w:rsid w:val="00D776A0"/>
    <w:rsid w:val="00D80BA0"/>
    <w:rsid w:val="00D81BCB"/>
    <w:rsid w:val="00D822A5"/>
    <w:rsid w:val="00D8286C"/>
    <w:rsid w:val="00D85470"/>
    <w:rsid w:val="00D85C8A"/>
    <w:rsid w:val="00D87079"/>
    <w:rsid w:val="00D87D24"/>
    <w:rsid w:val="00D91FAE"/>
    <w:rsid w:val="00D96E96"/>
    <w:rsid w:val="00DA25CE"/>
    <w:rsid w:val="00DA66E9"/>
    <w:rsid w:val="00DA71EE"/>
    <w:rsid w:val="00DB749E"/>
    <w:rsid w:val="00DB7F6F"/>
    <w:rsid w:val="00DC03A3"/>
    <w:rsid w:val="00DC2A4B"/>
    <w:rsid w:val="00DC2F90"/>
    <w:rsid w:val="00DC6395"/>
    <w:rsid w:val="00DC7BE8"/>
    <w:rsid w:val="00DD0DAE"/>
    <w:rsid w:val="00DD28F0"/>
    <w:rsid w:val="00DD2EB4"/>
    <w:rsid w:val="00DD477C"/>
    <w:rsid w:val="00DD4BC7"/>
    <w:rsid w:val="00DD4C3A"/>
    <w:rsid w:val="00DD553D"/>
    <w:rsid w:val="00DD61AB"/>
    <w:rsid w:val="00DD67F3"/>
    <w:rsid w:val="00DD6ABB"/>
    <w:rsid w:val="00DE2A62"/>
    <w:rsid w:val="00DE2A7A"/>
    <w:rsid w:val="00DE2E88"/>
    <w:rsid w:val="00DE3A1D"/>
    <w:rsid w:val="00DE7E77"/>
    <w:rsid w:val="00DF0777"/>
    <w:rsid w:val="00DF1B12"/>
    <w:rsid w:val="00DF5825"/>
    <w:rsid w:val="00DF692D"/>
    <w:rsid w:val="00E01E76"/>
    <w:rsid w:val="00E022C3"/>
    <w:rsid w:val="00E022E2"/>
    <w:rsid w:val="00E1012F"/>
    <w:rsid w:val="00E12113"/>
    <w:rsid w:val="00E14100"/>
    <w:rsid w:val="00E169BA"/>
    <w:rsid w:val="00E16A20"/>
    <w:rsid w:val="00E17CAC"/>
    <w:rsid w:val="00E214BB"/>
    <w:rsid w:val="00E232C1"/>
    <w:rsid w:val="00E2392A"/>
    <w:rsid w:val="00E2455D"/>
    <w:rsid w:val="00E24D7D"/>
    <w:rsid w:val="00E25EBD"/>
    <w:rsid w:val="00E30E5B"/>
    <w:rsid w:val="00E32614"/>
    <w:rsid w:val="00E32AF8"/>
    <w:rsid w:val="00E33230"/>
    <w:rsid w:val="00E3345E"/>
    <w:rsid w:val="00E344A8"/>
    <w:rsid w:val="00E35C31"/>
    <w:rsid w:val="00E35DAD"/>
    <w:rsid w:val="00E36C8A"/>
    <w:rsid w:val="00E37DFE"/>
    <w:rsid w:val="00E41815"/>
    <w:rsid w:val="00E42AFB"/>
    <w:rsid w:val="00E443EF"/>
    <w:rsid w:val="00E4662E"/>
    <w:rsid w:val="00E475B0"/>
    <w:rsid w:val="00E6050D"/>
    <w:rsid w:val="00E607B2"/>
    <w:rsid w:val="00E62A1B"/>
    <w:rsid w:val="00E62B6B"/>
    <w:rsid w:val="00E66F04"/>
    <w:rsid w:val="00E675D8"/>
    <w:rsid w:val="00E73273"/>
    <w:rsid w:val="00E73CB4"/>
    <w:rsid w:val="00E74F74"/>
    <w:rsid w:val="00E75B93"/>
    <w:rsid w:val="00E8371F"/>
    <w:rsid w:val="00E878D2"/>
    <w:rsid w:val="00E90933"/>
    <w:rsid w:val="00EA0C16"/>
    <w:rsid w:val="00EA34FA"/>
    <w:rsid w:val="00EA3E0F"/>
    <w:rsid w:val="00EA5ADA"/>
    <w:rsid w:val="00EA5BED"/>
    <w:rsid w:val="00EA6507"/>
    <w:rsid w:val="00EB2788"/>
    <w:rsid w:val="00EB36F2"/>
    <w:rsid w:val="00EB6A74"/>
    <w:rsid w:val="00EC063A"/>
    <w:rsid w:val="00EC0726"/>
    <w:rsid w:val="00EC0F0D"/>
    <w:rsid w:val="00EC18C8"/>
    <w:rsid w:val="00EC5A6D"/>
    <w:rsid w:val="00ED13DF"/>
    <w:rsid w:val="00ED1739"/>
    <w:rsid w:val="00ED5731"/>
    <w:rsid w:val="00ED5D27"/>
    <w:rsid w:val="00EE31C2"/>
    <w:rsid w:val="00EE34A3"/>
    <w:rsid w:val="00EE58D7"/>
    <w:rsid w:val="00EE755A"/>
    <w:rsid w:val="00EF1D74"/>
    <w:rsid w:val="00EF6453"/>
    <w:rsid w:val="00EF687E"/>
    <w:rsid w:val="00F00A04"/>
    <w:rsid w:val="00F01B36"/>
    <w:rsid w:val="00F03012"/>
    <w:rsid w:val="00F04B88"/>
    <w:rsid w:val="00F05DC3"/>
    <w:rsid w:val="00F06D27"/>
    <w:rsid w:val="00F07BDE"/>
    <w:rsid w:val="00F12D2F"/>
    <w:rsid w:val="00F13B84"/>
    <w:rsid w:val="00F15594"/>
    <w:rsid w:val="00F164B8"/>
    <w:rsid w:val="00F20B2E"/>
    <w:rsid w:val="00F21CE8"/>
    <w:rsid w:val="00F23384"/>
    <w:rsid w:val="00F26EEE"/>
    <w:rsid w:val="00F31FD0"/>
    <w:rsid w:val="00F33ABE"/>
    <w:rsid w:val="00F33F15"/>
    <w:rsid w:val="00F34B56"/>
    <w:rsid w:val="00F36D33"/>
    <w:rsid w:val="00F40735"/>
    <w:rsid w:val="00F4141C"/>
    <w:rsid w:val="00F420AE"/>
    <w:rsid w:val="00F424BA"/>
    <w:rsid w:val="00F446EA"/>
    <w:rsid w:val="00F47A17"/>
    <w:rsid w:val="00F47FD4"/>
    <w:rsid w:val="00F507AC"/>
    <w:rsid w:val="00F526B7"/>
    <w:rsid w:val="00F52A38"/>
    <w:rsid w:val="00F52CCC"/>
    <w:rsid w:val="00F54A4E"/>
    <w:rsid w:val="00F55168"/>
    <w:rsid w:val="00F5604B"/>
    <w:rsid w:val="00F604A4"/>
    <w:rsid w:val="00F6227B"/>
    <w:rsid w:val="00F64B3C"/>
    <w:rsid w:val="00F65DDB"/>
    <w:rsid w:val="00F66224"/>
    <w:rsid w:val="00F702DD"/>
    <w:rsid w:val="00F71615"/>
    <w:rsid w:val="00F717F7"/>
    <w:rsid w:val="00F73624"/>
    <w:rsid w:val="00F73F2B"/>
    <w:rsid w:val="00F74865"/>
    <w:rsid w:val="00F77F3A"/>
    <w:rsid w:val="00F8256B"/>
    <w:rsid w:val="00F84826"/>
    <w:rsid w:val="00F84E92"/>
    <w:rsid w:val="00F90118"/>
    <w:rsid w:val="00F904A4"/>
    <w:rsid w:val="00F95BAC"/>
    <w:rsid w:val="00F960B7"/>
    <w:rsid w:val="00F96A70"/>
    <w:rsid w:val="00F97473"/>
    <w:rsid w:val="00F974C2"/>
    <w:rsid w:val="00FA03FD"/>
    <w:rsid w:val="00FA176F"/>
    <w:rsid w:val="00FA21EC"/>
    <w:rsid w:val="00FA22D3"/>
    <w:rsid w:val="00FA66EE"/>
    <w:rsid w:val="00FA7D7A"/>
    <w:rsid w:val="00FB1151"/>
    <w:rsid w:val="00FB35F8"/>
    <w:rsid w:val="00FB768D"/>
    <w:rsid w:val="00FB79D2"/>
    <w:rsid w:val="00FC21DD"/>
    <w:rsid w:val="00FC28AB"/>
    <w:rsid w:val="00FC6E68"/>
    <w:rsid w:val="00FC7582"/>
    <w:rsid w:val="00FD42D7"/>
    <w:rsid w:val="00FD7AC8"/>
    <w:rsid w:val="00FE4356"/>
    <w:rsid w:val="00FE4C69"/>
    <w:rsid w:val="00FF0C5F"/>
    <w:rsid w:val="00FF186A"/>
    <w:rsid w:val="00FF1A84"/>
    <w:rsid w:val="00FF1B30"/>
    <w:rsid w:val="00FF3214"/>
    <w:rsid w:val="00FF70C1"/>
    <w:rsid w:val="00FF74E6"/>
    <w:rsid w:val="00FF76B9"/>
    <w:rsid w:val="21F4540B"/>
    <w:rsid w:val="581B0A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keepNext/>
      <w:keepLines/>
      <w:spacing w:before="240" w:after="240" w:line="480" w:lineRule="exact"/>
      <w:jc w:val="center"/>
      <w:outlineLvl w:val="0"/>
    </w:pPr>
    <w:rPr>
      <w:rFonts w:ascii="Times New Roman" w:hAnsi="Times New Roman"/>
      <w:b/>
      <w:bCs/>
      <w:kern w:val="44"/>
      <w:sz w:val="44"/>
      <w:szCs w:val="44"/>
    </w:rPr>
  </w:style>
  <w:style w:type="paragraph" w:styleId="3">
    <w:name w:val="heading 2"/>
    <w:basedOn w:val="1"/>
    <w:next w:val="1"/>
    <w:link w:val="25"/>
    <w:qFormat/>
    <w:locked/>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26"/>
    <w:qFormat/>
    <w:uiPriority w:val="99"/>
    <w:pPr>
      <w:keepNext/>
      <w:keepLines/>
      <w:widowControl/>
      <w:tabs>
        <w:tab w:val="left" w:pos="-105"/>
      </w:tabs>
      <w:spacing w:before="260" w:after="260" w:line="416" w:lineRule="auto"/>
      <w:ind w:right="-147" w:rightChars="-70"/>
      <w:jc w:val="left"/>
      <w:outlineLvl w:val="2"/>
    </w:pPr>
    <w:rPr>
      <w:rFonts w:ascii="宋体" w:hAnsi="宋体"/>
      <w:b/>
      <w:kern w:val="0"/>
      <w:sz w:val="20"/>
      <w:szCs w:val="20"/>
    </w:rPr>
  </w:style>
  <w:style w:type="paragraph" w:styleId="6">
    <w:name w:val="heading 4"/>
    <w:basedOn w:val="1"/>
    <w:next w:val="5"/>
    <w:link w:val="27"/>
    <w:qFormat/>
    <w:uiPriority w:val="99"/>
    <w:pPr>
      <w:keepNext/>
      <w:keepLines/>
      <w:numPr>
        <w:ilvl w:val="3"/>
        <w:numId w:val="1"/>
      </w:numPr>
      <w:tabs>
        <w:tab w:val="left" w:pos="-105"/>
      </w:tabs>
      <w:adjustRightInd w:val="0"/>
      <w:spacing w:before="280" w:after="290" w:line="376" w:lineRule="auto"/>
      <w:ind w:right="-147" w:rightChars="-70"/>
      <w:textAlignment w:val="baseline"/>
      <w:outlineLvl w:val="3"/>
    </w:pPr>
    <w:rPr>
      <w:rFonts w:ascii="Arial" w:hAnsi="Arial" w:eastAsia="黑体"/>
      <w:b/>
      <w:kern w:val="0"/>
      <w:sz w:val="20"/>
      <w:szCs w:val="20"/>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Normal Indent"/>
    <w:basedOn w:val="1"/>
    <w:semiHidden/>
    <w:qFormat/>
    <w:uiPriority w:val="99"/>
    <w:pPr>
      <w:ind w:firstLine="420" w:firstLineChars="200"/>
    </w:pPr>
    <w:rPr>
      <w:rFonts w:ascii="Times New Roman" w:hAnsi="Times New Roman"/>
      <w:szCs w:val="24"/>
    </w:rPr>
  </w:style>
  <w:style w:type="paragraph" w:styleId="7">
    <w:name w:val="annotation text"/>
    <w:basedOn w:val="1"/>
    <w:link w:val="43"/>
    <w:semiHidden/>
    <w:qFormat/>
    <w:uiPriority w:val="99"/>
    <w:pPr>
      <w:jc w:val="left"/>
    </w:pPr>
    <w:rPr>
      <w:rFonts w:ascii="Times New Roman" w:hAnsi="Times New Roman"/>
      <w:kern w:val="0"/>
      <w:sz w:val="24"/>
      <w:szCs w:val="24"/>
    </w:rPr>
  </w:style>
  <w:style w:type="paragraph" w:styleId="8">
    <w:name w:val="Body Text"/>
    <w:basedOn w:val="1"/>
    <w:link w:val="36"/>
    <w:semiHidden/>
    <w:qFormat/>
    <w:uiPriority w:val="99"/>
    <w:pPr>
      <w:spacing w:after="120"/>
    </w:pPr>
    <w:rPr>
      <w:rFonts w:ascii="Times New Roman" w:hAnsi="Times New Roman"/>
      <w:kern w:val="0"/>
      <w:sz w:val="24"/>
      <w:szCs w:val="24"/>
    </w:rPr>
  </w:style>
  <w:style w:type="paragraph" w:styleId="9">
    <w:name w:val="Body Text Indent"/>
    <w:basedOn w:val="1"/>
    <w:link w:val="31"/>
    <w:qFormat/>
    <w:uiPriority w:val="99"/>
    <w:pPr>
      <w:tabs>
        <w:tab w:val="left" w:pos="-105"/>
      </w:tabs>
      <w:spacing w:line="460" w:lineRule="exact"/>
      <w:ind w:right="-147" w:rightChars="-70" w:firstLine="454"/>
      <w:outlineLvl w:val="2"/>
    </w:pPr>
    <w:rPr>
      <w:rFonts w:ascii="宋体" w:hAnsi="宋体"/>
      <w:kern w:val="0"/>
      <w:sz w:val="20"/>
      <w:szCs w:val="20"/>
    </w:rPr>
  </w:style>
  <w:style w:type="paragraph" w:styleId="10">
    <w:name w:val="Plain Text"/>
    <w:basedOn w:val="1"/>
    <w:link w:val="37"/>
    <w:qFormat/>
    <w:uiPriority w:val="0"/>
    <w:pPr>
      <w:spacing w:line="500" w:lineRule="exact"/>
    </w:pPr>
    <w:rPr>
      <w:rFonts w:ascii="宋体" w:hAnsi="Courier New"/>
      <w:kern w:val="0"/>
      <w:sz w:val="20"/>
      <w:szCs w:val="20"/>
    </w:rPr>
  </w:style>
  <w:style w:type="paragraph" w:styleId="11">
    <w:name w:val="Date"/>
    <w:basedOn w:val="1"/>
    <w:next w:val="1"/>
    <w:link w:val="40"/>
    <w:semiHidden/>
    <w:qFormat/>
    <w:uiPriority w:val="99"/>
    <w:pPr>
      <w:ind w:left="100" w:leftChars="2500"/>
    </w:pPr>
    <w:rPr>
      <w:rFonts w:ascii="Times New Roman" w:hAnsi="Times New Roman"/>
      <w:kern w:val="0"/>
      <w:sz w:val="24"/>
      <w:szCs w:val="24"/>
    </w:rPr>
  </w:style>
  <w:style w:type="paragraph" w:styleId="12">
    <w:name w:val="Body Text Indent 2"/>
    <w:basedOn w:val="1"/>
    <w:link w:val="32"/>
    <w:qFormat/>
    <w:uiPriority w:val="99"/>
    <w:pPr>
      <w:tabs>
        <w:tab w:val="left" w:pos="-105"/>
      </w:tabs>
      <w:spacing w:line="360" w:lineRule="auto"/>
      <w:ind w:right="-147" w:rightChars="-70" w:firstLine="540"/>
      <w:outlineLvl w:val="2"/>
    </w:pPr>
    <w:rPr>
      <w:rFonts w:ascii="宋体" w:hAnsi="宋体"/>
      <w:color w:val="000000"/>
      <w:kern w:val="0"/>
      <w:sz w:val="20"/>
      <w:szCs w:val="20"/>
    </w:rPr>
  </w:style>
  <w:style w:type="paragraph" w:styleId="13">
    <w:name w:val="Balloon Text"/>
    <w:basedOn w:val="1"/>
    <w:link w:val="44"/>
    <w:semiHidden/>
    <w:qFormat/>
    <w:uiPriority w:val="99"/>
    <w:rPr>
      <w:rFonts w:ascii="Times New Roman" w:hAnsi="Times New Roman"/>
      <w:kern w:val="0"/>
      <w:sz w:val="18"/>
      <w:szCs w:val="18"/>
    </w:rPr>
  </w:style>
  <w:style w:type="paragraph" w:styleId="14">
    <w:name w:val="footer"/>
    <w:basedOn w:val="1"/>
    <w:link w:val="29"/>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link w:val="2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6">
    <w:name w:val="HTML Preformatted"/>
    <w:basedOn w:val="1"/>
    <w:link w:val="47"/>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20">
    <w:name w:val="page number"/>
    <w:qFormat/>
    <w:uiPriority w:val="0"/>
    <w:rPr>
      <w:rFonts w:cs="Times New Roman"/>
    </w:rPr>
  </w:style>
  <w:style w:type="character" w:styleId="21">
    <w:name w:val="Emphasis"/>
    <w:basedOn w:val="19"/>
    <w:qFormat/>
    <w:locked/>
    <w:uiPriority w:val="20"/>
    <w:rPr>
      <w:i/>
      <w:iCs/>
    </w:rPr>
  </w:style>
  <w:style w:type="character" w:styleId="22">
    <w:name w:val="Hyperlink"/>
    <w:qFormat/>
    <w:uiPriority w:val="99"/>
    <w:rPr>
      <w:rFonts w:cs="Times New Roman"/>
      <w:color w:val="0000FF"/>
      <w:u w:val="single"/>
    </w:rPr>
  </w:style>
  <w:style w:type="character" w:styleId="23">
    <w:name w:val="annotation reference"/>
    <w:semiHidden/>
    <w:qFormat/>
    <w:uiPriority w:val="99"/>
    <w:rPr>
      <w:rFonts w:cs="Times New Roman"/>
      <w:sz w:val="21"/>
    </w:rPr>
  </w:style>
  <w:style w:type="character" w:customStyle="1" w:styleId="24">
    <w:name w:val="标题 1 Char"/>
    <w:link w:val="2"/>
    <w:qFormat/>
    <w:locked/>
    <w:uiPriority w:val="99"/>
    <w:rPr>
      <w:rFonts w:ascii="Times New Roman" w:hAnsi="Times New Roman" w:eastAsia="宋体"/>
      <w:b/>
      <w:kern w:val="44"/>
      <w:sz w:val="44"/>
    </w:rPr>
  </w:style>
  <w:style w:type="character" w:customStyle="1" w:styleId="25">
    <w:name w:val="标题 2 Char1"/>
    <w:link w:val="3"/>
    <w:qFormat/>
    <w:locked/>
    <w:uiPriority w:val="99"/>
    <w:rPr>
      <w:rFonts w:ascii="Cambria" w:hAnsi="Cambria" w:eastAsia="宋体"/>
      <w:b/>
      <w:sz w:val="32"/>
    </w:rPr>
  </w:style>
  <w:style w:type="character" w:customStyle="1" w:styleId="26">
    <w:name w:val="标题 3 Char"/>
    <w:link w:val="4"/>
    <w:qFormat/>
    <w:locked/>
    <w:uiPriority w:val="99"/>
    <w:rPr>
      <w:rFonts w:ascii="宋体" w:hAnsi="宋体" w:eastAsia="宋体"/>
      <w:b/>
      <w:kern w:val="0"/>
      <w:sz w:val="20"/>
    </w:rPr>
  </w:style>
  <w:style w:type="character" w:customStyle="1" w:styleId="27">
    <w:name w:val="标题 4 Char"/>
    <w:link w:val="6"/>
    <w:qFormat/>
    <w:locked/>
    <w:uiPriority w:val="99"/>
    <w:rPr>
      <w:rFonts w:ascii="Arial" w:hAnsi="Arial" w:eastAsia="黑体"/>
      <w:b/>
      <w:kern w:val="0"/>
      <w:sz w:val="20"/>
    </w:rPr>
  </w:style>
  <w:style w:type="character" w:customStyle="1" w:styleId="28">
    <w:name w:val="页眉 Char"/>
    <w:link w:val="15"/>
    <w:qFormat/>
    <w:locked/>
    <w:uiPriority w:val="99"/>
    <w:rPr>
      <w:rFonts w:ascii="Times New Roman" w:hAnsi="Times New Roman" w:eastAsia="宋体"/>
      <w:sz w:val="18"/>
    </w:rPr>
  </w:style>
  <w:style w:type="character" w:customStyle="1" w:styleId="29">
    <w:name w:val="页脚 Char"/>
    <w:link w:val="14"/>
    <w:qFormat/>
    <w:locked/>
    <w:uiPriority w:val="0"/>
    <w:rPr>
      <w:rFonts w:ascii="Times New Roman" w:hAnsi="Times New Roman" w:eastAsia="宋体"/>
      <w:sz w:val="18"/>
    </w:rPr>
  </w:style>
  <w:style w:type="paragraph" w:customStyle="1" w:styleId="30">
    <w:name w:val="JY的章标题"/>
    <w:basedOn w:val="1"/>
    <w:qFormat/>
    <w:uiPriority w:val="99"/>
    <w:pPr>
      <w:numPr>
        <w:ilvl w:val="0"/>
        <w:numId w:val="1"/>
      </w:numPr>
      <w:tabs>
        <w:tab w:val="left" w:pos="-105"/>
      </w:tabs>
      <w:spacing w:line="440" w:lineRule="exact"/>
      <w:ind w:right="-147" w:rightChars="-70"/>
      <w:outlineLvl w:val="2"/>
    </w:pPr>
    <w:rPr>
      <w:rFonts w:ascii="宋体" w:hAnsi="宋体"/>
      <w:sz w:val="24"/>
      <w:szCs w:val="20"/>
    </w:rPr>
  </w:style>
  <w:style w:type="character" w:customStyle="1" w:styleId="31">
    <w:name w:val="正文文本缩进 Char"/>
    <w:link w:val="9"/>
    <w:qFormat/>
    <w:locked/>
    <w:uiPriority w:val="99"/>
    <w:rPr>
      <w:rFonts w:ascii="宋体" w:hAnsi="宋体" w:eastAsia="宋体"/>
      <w:sz w:val="20"/>
    </w:rPr>
  </w:style>
  <w:style w:type="character" w:customStyle="1" w:styleId="32">
    <w:name w:val="正文文本缩进 2 Char"/>
    <w:link w:val="12"/>
    <w:qFormat/>
    <w:locked/>
    <w:uiPriority w:val="99"/>
    <w:rPr>
      <w:rFonts w:ascii="宋体" w:hAnsi="宋体" w:eastAsia="宋体"/>
      <w:color w:val="000000"/>
      <w:sz w:val="20"/>
    </w:rPr>
  </w:style>
  <w:style w:type="paragraph" w:customStyle="1" w:styleId="33">
    <w:name w:val="第二章小节标题"/>
    <w:next w:val="8"/>
    <w:qFormat/>
    <w:uiPriority w:val="99"/>
    <w:pPr>
      <w:widowControl w:val="0"/>
      <w:ind w:firstLine="587" w:firstLineChars="209"/>
      <w:outlineLvl w:val="1"/>
    </w:pPr>
    <w:rPr>
      <w:rFonts w:ascii="Times New Roman" w:hAnsi="Times New Roman" w:eastAsia="宋体" w:cs="Times New Roman"/>
      <w:b/>
      <w:kern w:val="2"/>
      <w:sz w:val="28"/>
      <w:szCs w:val="28"/>
      <w:lang w:val="en-US" w:eastAsia="zh-CN" w:bidi="ar-SA"/>
    </w:rPr>
  </w:style>
  <w:style w:type="character" w:customStyle="1" w:styleId="34">
    <w:name w:val="标题 2 Char"/>
    <w:qFormat/>
    <w:uiPriority w:val="99"/>
    <w:rPr>
      <w:rFonts w:ascii="Arial"/>
      <w:sz w:val="32"/>
    </w:rPr>
  </w:style>
  <w:style w:type="paragraph" w:customStyle="1" w:styleId="35">
    <w:name w:val="第二章章标题"/>
    <w:basedOn w:val="1"/>
    <w:next w:val="8"/>
    <w:qFormat/>
    <w:uiPriority w:val="99"/>
    <w:pPr>
      <w:spacing w:beforeLines="50" w:afterLines="50"/>
      <w:ind w:right="-147" w:firstLine="446" w:firstLineChars="185"/>
      <w:jc w:val="left"/>
      <w:outlineLvl w:val="0"/>
    </w:pPr>
    <w:rPr>
      <w:rFonts w:ascii="宋体" w:hAnsi="宋体"/>
      <w:b/>
      <w:bCs/>
      <w:sz w:val="24"/>
      <w:szCs w:val="24"/>
    </w:rPr>
  </w:style>
  <w:style w:type="character" w:customStyle="1" w:styleId="36">
    <w:name w:val="正文文本 Char"/>
    <w:link w:val="8"/>
    <w:semiHidden/>
    <w:qFormat/>
    <w:locked/>
    <w:uiPriority w:val="99"/>
    <w:rPr>
      <w:rFonts w:ascii="Times New Roman" w:hAnsi="Times New Roman" w:eastAsia="宋体"/>
      <w:sz w:val="24"/>
    </w:rPr>
  </w:style>
  <w:style w:type="character" w:customStyle="1" w:styleId="37">
    <w:name w:val="纯文本 Char"/>
    <w:link w:val="10"/>
    <w:qFormat/>
    <w:locked/>
    <w:uiPriority w:val="0"/>
    <w:rPr>
      <w:rFonts w:ascii="宋体" w:hAnsi="Courier New" w:eastAsia="宋体"/>
    </w:rPr>
  </w:style>
  <w:style w:type="character" w:customStyle="1" w:styleId="38">
    <w:name w:val="Plain Text Char1"/>
    <w:semiHidden/>
    <w:qFormat/>
    <w:uiPriority w:val="99"/>
    <w:rPr>
      <w:rFonts w:ascii="宋体" w:hAnsi="Courier New"/>
      <w:sz w:val="21"/>
    </w:rPr>
  </w:style>
  <w:style w:type="character" w:customStyle="1" w:styleId="39">
    <w:name w:val="纯文本 Char1"/>
    <w:semiHidden/>
    <w:qFormat/>
    <w:uiPriority w:val="99"/>
    <w:rPr>
      <w:rFonts w:ascii="宋体" w:hAnsi="Courier New" w:eastAsia="宋体"/>
      <w:sz w:val="21"/>
    </w:rPr>
  </w:style>
  <w:style w:type="character" w:customStyle="1" w:styleId="40">
    <w:name w:val="日期 Char"/>
    <w:link w:val="11"/>
    <w:semiHidden/>
    <w:qFormat/>
    <w:locked/>
    <w:uiPriority w:val="99"/>
    <w:rPr>
      <w:rFonts w:ascii="Times New Roman" w:hAnsi="Times New Roman" w:eastAsia="宋体"/>
      <w:sz w:val="24"/>
    </w:rPr>
  </w:style>
  <w:style w:type="paragraph" w:styleId="41">
    <w:name w:val="List Paragraph"/>
    <w:basedOn w:val="1"/>
    <w:qFormat/>
    <w:uiPriority w:val="34"/>
    <w:pPr>
      <w:ind w:firstLine="420" w:firstLineChars="200"/>
    </w:pPr>
    <w:rPr>
      <w:rFonts w:ascii="Times New Roman" w:hAnsi="Times New Roman"/>
      <w:szCs w:val="24"/>
    </w:rPr>
  </w:style>
  <w:style w:type="paragraph" w:customStyle="1" w:styleId="42">
    <w:name w:val="Char Char Char Char Char Char Char"/>
    <w:basedOn w:val="1"/>
    <w:qFormat/>
    <w:uiPriority w:val="99"/>
    <w:pPr>
      <w:widowControl/>
      <w:snapToGrid w:val="0"/>
      <w:spacing w:after="160" w:line="360" w:lineRule="auto"/>
      <w:jc w:val="left"/>
    </w:pPr>
    <w:rPr>
      <w:rFonts w:ascii="Times New Roman" w:hAnsi="Times New Roman"/>
      <w:szCs w:val="20"/>
    </w:rPr>
  </w:style>
  <w:style w:type="character" w:customStyle="1" w:styleId="43">
    <w:name w:val="批注文字 Char"/>
    <w:link w:val="7"/>
    <w:semiHidden/>
    <w:qFormat/>
    <w:locked/>
    <w:uiPriority w:val="99"/>
    <w:rPr>
      <w:rFonts w:ascii="Times New Roman" w:hAnsi="Times New Roman" w:eastAsia="宋体"/>
      <w:sz w:val="24"/>
    </w:rPr>
  </w:style>
  <w:style w:type="character" w:customStyle="1" w:styleId="44">
    <w:name w:val="批注框文本 Char"/>
    <w:link w:val="13"/>
    <w:semiHidden/>
    <w:qFormat/>
    <w:locked/>
    <w:uiPriority w:val="99"/>
    <w:rPr>
      <w:rFonts w:ascii="Times New Roman" w:hAnsi="Times New Roman" w:eastAsia="宋体"/>
      <w:sz w:val="18"/>
    </w:rPr>
  </w:style>
  <w:style w:type="character" w:customStyle="1" w:styleId="45">
    <w:name w:val="普通文字1 Char1"/>
    <w:qFormat/>
    <w:uiPriority w:val="99"/>
    <w:rPr>
      <w:rFonts w:ascii="宋体" w:hAnsi="Courier New" w:eastAsia="宋体"/>
      <w:kern w:val="2"/>
      <w:sz w:val="24"/>
      <w:lang w:val="en-US" w:eastAsia="zh-CN"/>
    </w:rPr>
  </w:style>
  <w:style w:type="character" w:customStyle="1" w:styleId="46">
    <w:name w:val="Char Char"/>
    <w:qFormat/>
    <w:uiPriority w:val="99"/>
    <w:rPr>
      <w:rFonts w:eastAsia="宋体"/>
      <w:kern w:val="2"/>
      <w:sz w:val="24"/>
      <w:lang w:val="en-US" w:eastAsia="zh-CN"/>
    </w:rPr>
  </w:style>
  <w:style w:type="character" w:customStyle="1" w:styleId="47">
    <w:name w:val="HTML 预设格式 Char"/>
    <w:basedOn w:val="19"/>
    <w:link w:val="16"/>
    <w:qFormat/>
    <w:uiPriority w:val="99"/>
    <w:rPr>
      <w:rFonts w:ascii="Arial" w:hAnsi="Arial" w:cs="Arial"/>
      <w:sz w:val="21"/>
      <w:szCs w:val="21"/>
    </w:rPr>
  </w:style>
  <w:style w:type="paragraph" w:customStyle="1" w:styleId="4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正文(仿)首缩"/>
    <w:basedOn w:val="1"/>
    <w:uiPriority w:val="0"/>
    <w:pPr>
      <w:ind w:firstLine="200" w:firstLineChars="200"/>
    </w:pPr>
    <w:rPr>
      <w:rFonts w:ascii="仿宋_GB2312" w:hAnsi="Times New Roman"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9F4E2A-DF3A-4015-96EA-DB1C9B5E16B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16623</Words>
  <Characters>17551</Characters>
  <Lines>152</Lines>
  <Paragraphs>42</Paragraphs>
  <TotalTime>360</TotalTime>
  <ScaleCrop>false</ScaleCrop>
  <LinksUpToDate>false</LinksUpToDate>
  <CharactersWithSpaces>19607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2021-01-28T02:26:00Z</dcterms:created>
  <dc:creator>dreamsummit</dc:creator>
  <cp:lastModifiedBy>人心不古</cp:lastModifiedBy>
  <dcterms:modified xsi:type="dcterms:W3CDTF">2022-11-01T00:57:16Z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A01260F26F1F4235AEF713A9BBA11CC9</vt:lpwstr>
  </property>
</Properties>
</file>