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803" w:firstLineChars="200"/>
        <w:rPr>
          <w:rFonts w:hint="eastAsia" w:ascii="Calibri" w:hAnsi="Calibri" w:eastAsia="宋体" w:cs="宋体"/>
          <w:color w:val="000000"/>
          <w:kern w:val="0"/>
          <w:szCs w:val="21"/>
        </w:rPr>
      </w:pPr>
      <w:r>
        <w:rPr>
          <w:rFonts w:hint="eastAsia" w:ascii="宋体" w:hAnsi="宋体" w:cs="Arial"/>
          <w:b/>
          <w:color w:val="000000"/>
          <w:sz w:val="40"/>
          <w:szCs w:val="40"/>
          <w:u w:val="single"/>
        </w:rPr>
        <w:t>危废三万吨</w:t>
      </w:r>
      <w:r>
        <w:rPr>
          <w:rFonts w:hint="eastAsia" w:ascii="宋体" w:hAnsi="宋体" w:cs="Arial"/>
          <w:b/>
          <w:color w:val="000000"/>
          <w:sz w:val="40"/>
          <w:szCs w:val="40"/>
          <w:u w:val="single"/>
          <w:lang w:eastAsia="zh-CN"/>
        </w:rPr>
        <w:t>出渣捞渣机改造</w:t>
      </w:r>
      <w:r>
        <w:rPr>
          <w:rFonts w:hint="eastAsia" w:ascii="宋体" w:hAnsi="宋体" w:cs="Arial"/>
          <w:b/>
          <w:color w:val="000000"/>
          <w:sz w:val="40"/>
          <w:szCs w:val="40"/>
          <w:u w:val="single"/>
        </w:rPr>
        <w:t>招标书</w:t>
      </w:r>
    </w:p>
    <w:p>
      <w:pPr>
        <w:pStyle w:val="12"/>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hint="eastAsia" w:ascii="宋体" w:hAnsi="宋体" w:cs="Arial"/>
          <w:sz w:val="24"/>
          <w:szCs w:val="24"/>
        </w:rPr>
      </w:pPr>
      <w:r>
        <w:rPr>
          <w:rFonts w:hint="eastAsia" w:ascii="宋体" w:hAnsi="宋体" w:cs="Arial"/>
          <w:sz w:val="24"/>
          <w:szCs w:val="24"/>
        </w:rPr>
        <w:t>鑫广绿环再生资源股份有限公司现对危废三万吨</w:t>
      </w:r>
      <w:r>
        <w:rPr>
          <w:rFonts w:hint="eastAsia" w:ascii="宋体" w:hAnsi="宋体" w:cs="Arial"/>
          <w:sz w:val="24"/>
          <w:szCs w:val="24"/>
          <w:lang w:eastAsia="zh-CN"/>
        </w:rPr>
        <w:t>出渣捞渣机改造</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lang w:eastAsia="zh-CN"/>
        </w:rPr>
      </w:pPr>
      <w:r>
        <w:rPr>
          <w:rFonts w:hint="eastAsia" w:ascii="宋体" w:hAnsi="宋体" w:eastAsia="宋体" w:cs="宋体"/>
          <w:color w:val="000000"/>
          <w:kern w:val="0"/>
          <w:sz w:val="24"/>
          <w:szCs w:val="24"/>
        </w:rPr>
        <w:t>1.1</w:t>
      </w:r>
      <w:r>
        <w:rPr>
          <w:rFonts w:hint="eastAsia" w:ascii="宋体" w:hAnsi="宋体" w:cs="Arial"/>
          <w:sz w:val="24"/>
          <w:szCs w:val="24"/>
        </w:rPr>
        <w:t>项目内容：危废三万吨</w:t>
      </w:r>
      <w:r>
        <w:rPr>
          <w:rFonts w:hint="eastAsia" w:ascii="宋体" w:hAnsi="宋体" w:cs="Arial"/>
          <w:sz w:val="24"/>
          <w:szCs w:val="24"/>
          <w:lang w:eastAsia="zh-CN"/>
        </w:rPr>
        <w:t>出渣捞渣机改造</w:t>
      </w:r>
    </w:p>
    <w:p>
      <w:pPr>
        <w:adjustRightInd w:val="0"/>
        <w:snapToGrid w:val="0"/>
        <w:spacing w:beforeLines="50"/>
        <w:ind w:left="240" w:hanging="240" w:hanging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bookmarkStart w:id="4" w:name="_GoBack"/>
      <w:bookmarkEnd w:id="4"/>
      <w:r>
        <w:rPr>
          <w:rFonts w:hint="eastAsia" w:ascii="宋体" w:hAnsi="宋体" w:eastAsia="宋体" w:cs="宋体"/>
          <w:color w:val="000000"/>
          <w:kern w:val="0"/>
          <w:sz w:val="24"/>
          <w:szCs w:val="24"/>
          <w:lang w:val="en-US" w:eastAsia="zh-CN"/>
        </w:rPr>
        <w:t>及附件二产品技术要求</w:t>
      </w:r>
      <w:r>
        <w:rPr>
          <w:rFonts w:hint="eastAsia" w:ascii="宋体" w:hAnsi="宋体" w:eastAsia="宋体" w:cs="宋体"/>
          <w:color w:val="000000"/>
          <w:kern w:val="0"/>
          <w:sz w:val="24"/>
          <w:szCs w:val="24"/>
        </w:rPr>
        <w:t>）</w:t>
      </w:r>
    </w:p>
    <w:p>
      <w:pPr>
        <w:widowControl/>
        <w:shd w:val="clear" w:color="auto" w:fill="FFFFFF"/>
        <w:spacing w:before="156" w:line="228" w:lineRule="atLeast"/>
        <w:ind w:firstLine="118"/>
        <w:rPr>
          <w:rFonts w:hint="eastAsia" w:ascii="宋体" w:hAnsi="宋体" w:cs="Arial"/>
          <w:sz w:val="24"/>
          <w:szCs w:val="24"/>
          <w:lang w:val="zh-CN"/>
        </w:rPr>
      </w:pPr>
      <w:r>
        <w:rPr>
          <w:rFonts w:hint="eastAsia" w:ascii="宋体" w:hAnsi="宋体" w:eastAsia="宋体" w:cs="宋体"/>
          <w:b/>
          <w:color w:val="000000"/>
          <w:kern w:val="0"/>
          <w:sz w:val="24"/>
          <w:szCs w:val="24"/>
        </w:rPr>
        <w:t>2、投标人资质要求：</w:t>
      </w:r>
    </w:p>
    <w:p>
      <w:pPr>
        <w:adjustRightInd w:val="0"/>
        <w:snapToGrid w:val="0"/>
        <w:spacing w:beforeLines="50"/>
        <w:ind w:left="240" w:hanging="240" w:hangingChars="100"/>
        <w:rPr>
          <w:rFonts w:hint="eastAsia" w:ascii="宋体" w:hAnsi="宋体" w:cs="Arial"/>
          <w:sz w:val="24"/>
          <w:szCs w:val="24"/>
        </w:rPr>
      </w:pPr>
      <w:r>
        <w:rPr>
          <w:rFonts w:hint="eastAsia" w:ascii="宋体" w:hAnsi="宋体" w:cs="Arial"/>
          <w:sz w:val="24"/>
          <w:szCs w:val="24"/>
        </w:rPr>
        <w:t>2.</w:t>
      </w:r>
      <w:r>
        <w:rPr>
          <w:rFonts w:hint="eastAsia" w:ascii="宋体" w:hAnsi="宋体" w:cs="Arial"/>
          <w:sz w:val="24"/>
          <w:szCs w:val="24"/>
          <w:lang w:val="en-US" w:eastAsia="zh-CN"/>
        </w:rPr>
        <w:t>1</w:t>
      </w:r>
      <w:r>
        <w:rPr>
          <w:rFonts w:hint="eastAsia" w:ascii="宋体" w:hAnsi="宋体" w:cs="Arial"/>
          <w:sz w:val="24"/>
          <w:szCs w:val="24"/>
        </w:rPr>
        <w:t>投标人自制应符合国家和地方的相关要求和规定。</w:t>
      </w:r>
    </w:p>
    <w:p>
      <w:pPr>
        <w:adjustRightInd w:val="0"/>
        <w:snapToGrid w:val="0"/>
        <w:spacing w:beforeLines="50"/>
        <w:ind w:left="240" w:hanging="240" w:hangingChars="100"/>
        <w:rPr>
          <w:rFonts w:hint="eastAsia" w:ascii="宋体" w:hAnsi="宋体" w:cs="Arial" w:eastAsiaTheme="minorEastAsia"/>
          <w:sz w:val="24"/>
          <w:szCs w:val="24"/>
          <w:lang w:val="en-US" w:eastAsia="zh-CN"/>
        </w:rPr>
      </w:pPr>
      <w:r>
        <w:rPr>
          <w:rFonts w:hint="eastAsia" w:ascii="宋体" w:hAnsi="宋体" w:cs="Arial"/>
          <w:sz w:val="24"/>
          <w:szCs w:val="24"/>
        </w:rPr>
        <w:t>2.</w:t>
      </w:r>
      <w:r>
        <w:rPr>
          <w:rFonts w:hint="eastAsia" w:ascii="宋体" w:hAnsi="宋体" w:cs="Arial"/>
          <w:sz w:val="24"/>
          <w:szCs w:val="24"/>
          <w:lang w:val="en-US" w:eastAsia="zh-CN"/>
        </w:rPr>
        <w:t>2</w:t>
      </w:r>
      <w:r>
        <w:rPr>
          <w:rFonts w:hint="eastAsia" w:ascii="宋体" w:hAnsi="宋体" w:cs="Arial"/>
          <w:sz w:val="24"/>
          <w:szCs w:val="24"/>
        </w:rPr>
        <w:t>投标人必须为生产厂家具备专业资质，要求证照齐全，具备制作或者出售标的物的资质</w:t>
      </w:r>
      <w:r>
        <w:rPr>
          <w:rFonts w:hint="eastAsia" w:ascii="宋体" w:hAnsi="宋体" w:cs="Arial"/>
          <w:sz w:val="24"/>
          <w:szCs w:val="24"/>
          <w:lang w:val="en-US" w:eastAsia="zh-CN"/>
        </w:rPr>
        <w:t>,为行业内知名品牌。</w:t>
      </w:r>
    </w:p>
    <w:p>
      <w:pPr>
        <w:adjustRightInd w:val="0"/>
        <w:snapToGrid w:val="0"/>
        <w:spacing w:beforeLines="50"/>
        <w:ind w:left="240" w:hanging="240" w:hangingChars="100"/>
        <w:rPr>
          <w:rFonts w:ascii="宋体" w:hAnsi="Times New Roman" w:eastAsia="宋体" w:cs="宋体"/>
          <w:sz w:val="28"/>
          <w:szCs w:val="28"/>
          <w:lang w:val="zh-CN"/>
        </w:rPr>
      </w:pP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参与投标厂家，必须到现场实际测量，并有至少3家以上危废同类型出渣机设计、安装业绩。</w:t>
      </w:r>
      <w:r>
        <w:rPr>
          <w:rFonts w:hint="eastAsia" w:ascii="宋体" w:hAnsi="宋体" w:cs="Arial"/>
          <w:sz w:val="24"/>
          <w:szCs w:val="24"/>
          <w:lang w:val="en-US" w:eastAsia="zh-CN"/>
        </w:rPr>
        <w:t>(</w:t>
      </w:r>
      <w:r>
        <w:rPr>
          <w:rFonts w:hint="eastAsia" w:ascii="宋体" w:hAnsi="宋体" w:cs="Arial"/>
          <w:sz w:val="24"/>
          <w:szCs w:val="24"/>
        </w:rPr>
        <w:t>需提供合同业绩证明或发票</w:t>
      </w:r>
      <w:r>
        <w:rPr>
          <w:rFonts w:hint="eastAsia" w:ascii="宋体" w:hAnsi="宋体" w:cs="Arial"/>
          <w:sz w:val="24"/>
          <w:szCs w:val="24"/>
          <w:lang w:val="en-US" w:eastAsia="zh-CN"/>
        </w:rPr>
        <w:t>等证明文件</w:t>
      </w:r>
      <w:r>
        <w:rPr>
          <w:rFonts w:hint="eastAsia" w:ascii="宋体" w:hAnsi="宋体" w:cs="Arial"/>
          <w:sz w:val="24"/>
          <w:szCs w:val="24"/>
        </w:rPr>
        <w:t>。</w:t>
      </w:r>
    </w:p>
    <w:p>
      <w:pPr>
        <w:adjustRightInd w:val="0"/>
        <w:snapToGrid w:val="0"/>
        <w:spacing w:beforeLines="50" w:line="288" w:lineRule="auto"/>
        <w:ind w:firstLine="120" w:firstLineChars="50"/>
        <w:rPr>
          <w:rFonts w:asciiTheme="minorEastAsia" w:hAnsiTheme="minorEastAsia"/>
          <w:b/>
          <w:color w:val="000000" w:themeColor="text1"/>
          <w:sz w:val="24"/>
          <w:szCs w:val="24"/>
        </w:rPr>
      </w:pPr>
    </w:p>
    <w:p>
      <w:pPr>
        <w:widowControl/>
        <w:shd w:val="clear" w:color="auto" w:fill="FFFFFF"/>
        <w:spacing w:before="156" w:line="228" w:lineRule="atLeast"/>
        <w:ind w:firstLine="118"/>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6、发标与投标信息：</w:t>
      </w:r>
    </w:p>
    <w:p>
      <w:pPr>
        <w:adjustRightInd w:val="0"/>
        <w:snapToGrid w:val="0"/>
        <w:spacing w:beforeLines="50" w:line="288" w:lineRule="auto"/>
        <w:ind w:left="210" w:leftChars="100"/>
        <w:rPr>
          <w:rFonts w:hint="eastAsia"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8</w:t>
      </w:r>
      <w:r>
        <w:rPr>
          <w:rFonts w:hint="eastAsia" w:ascii="宋体" w:hAnsi="宋体" w:cs="Arial"/>
          <w:sz w:val="24"/>
          <w:szCs w:val="24"/>
        </w:rPr>
        <w:t>月1</w:t>
      </w:r>
      <w:r>
        <w:rPr>
          <w:rFonts w:hint="eastAsia" w:ascii="宋体" w:hAnsi="宋体" w:cs="Arial"/>
          <w:sz w:val="24"/>
          <w:szCs w:val="24"/>
          <w:lang w:val="en-US" w:eastAsia="zh-CN"/>
        </w:rPr>
        <w:t>5</w:t>
      </w:r>
      <w:r>
        <w:rPr>
          <w:rFonts w:hint="eastAsia" w:ascii="宋体" w:hAnsi="宋体" w:cs="Arial"/>
          <w:sz w:val="24"/>
          <w:szCs w:val="24"/>
        </w:rPr>
        <w:t>日（周</w:t>
      </w:r>
      <w:r>
        <w:rPr>
          <w:rFonts w:hint="eastAsia" w:ascii="宋体" w:hAnsi="宋体" w:cs="Arial"/>
          <w:sz w:val="24"/>
          <w:szCs w:val="24"/>
          <w:lang w:eastAsia="zh-CN"/>
        </w:rPr>
        <w:t>一</w:t>
      </w:r>
      <w:r>
        <w:rPr>
          <w:rFonts w:hint="eastAsia" w:ascii="宋体" w:hAnsi="宋体" w:cs="Arial"/>
          <w:sz w:val="24"/>
          <w:szCs w:val="24"/>
        </w:rPr>
        <w:t>）。</w:t>
      </w:r>
    </w:p>
    <w:p>
      <w:pPr>
        <w:adjustRightInd w:val="0"/>
        <w:snapToGrid w:val="0"/>
        <w:spacing w:beforeLines="50" w:line="288" w:lineRule="auto"/>
        <w:ind w:left="210" w:leftChars="100"/>
        <w:rPr>
          <w:rFonts w:hint="eastAsia"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hint="eastAsia" w:ascii="宋体" w:cs="Arial"/>
          <w:color w:val="000000" w:themeColor="text1"/>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000000" w:themeColor="text1"/>
          <w:sz w:val="24"/>
          <w:szCs w:val="24"/>
        </w:rPr>
        <w:t>20</w:t>
      </w:r>
      <w:r>
        <w:rPr>
          <w:rFonts w:hint="eastAsia" w:ascii="宋体" w:hAnsi="宋体" w:cs="Arial"/>
          <w:color w:val="000000" w:themeColor="text1"/>
          <w:sz w:val="24"/>
          <w:szCs w:val="24"/>
        </w:rPr>
        <w:t>22年</w:t>
      </w:r>
      <w:r>
        <w:rPr>
          <w:rFonts w:hint="eastAsia" w:ascii="宋体" w:hAnsi="宋体" w:cs="Arial"/>
          <w:color w:val="000000" w:themeColor="text1"/>
          <w:sz w:val="24"/>
          <w:szCs w:val="24"/>
          <w:lang w:val="en-US" w:eastAsia="zh-CN"/>
        </w:rPr>
        <w:t>8</w:t>
      </w:r>
      <w:r>
        <w:rPr>
          <w:rFonts w:hint="eastAsia" w:ascii="宋体" w:hAnsi="宋体" w:cs="Arial"/>
          <w:color w:val="000000" w:themeColor="text1"/>
          <w:sz w:val="24"/>
          <w:szCs w:val="24"/>
        </w:rPr>
        <w:t>月</w:t>
      </w:r>
      <w:r>
        <w:rPr>
          <w:rFonts w:hint="eastAsia" w:ascii="宋体" w:hAnsi="宋体" w:cs="Arial"/>
          <w:color w:val="000000" w:themeColor="text1"/>
          <w:sz w:val="24"/>
          <w:szCs w:val="24"/>
          <w:lang w:val="en-US" w:eastAsia="zh-CN"/>
        </w:rPr>
        <w:t>22</w:t>
      </w:r>
      <w:r>
        <w:rPr>
          <w:rFonts w:hint="eastAsia" w:ascii="宋体" w:hAnsi="宋体" w:cs="Arial"/>
          <w:color w:val="000000" w:themeColor="text1"/>
          <w:sz w:val="24"/>
          <w:szCs w:val="24"/>
        </w:rPr>
        <w:t>日12：</w:t>
      </w:r>
      <w:r>
        <w:rPr>
          <w:rFonts w:hint="eastAsia" w:ascii="宋体" w:cs="Arial"/>
          <w:color w:val="000000" w:themeColor="text1"/>
          <w:sz w:val="24"/>
          <w:szCs w:val="24"/>
        </w:rPr>
        <w:t>0</w:t>
      </w:r>
      <w:r>
        <w:rPr>
          <w:rFonts w:ascii="宋体" w:cs="Arial"/>
          <w:color w:val="000000" w:themeColor="text1"/>
          <w:sz w:val="24"/>
          <w:szCs w:val="24"/>
        </w:rPr>
        <w:t>0</w:t>
      </w:r>
      <w:r>
        <w:rPr>
          <w:rFonts w:hint="eastAsia" w:ascii="宋体" w:hAnsi="宋体" w:cs="Arial"/>
          <w:color w:val="000000" w:themeColor="text1"/>
          <w:sz w:val="24"/>
          <w:szCs w:val="24"/>
        </w:rPr>
        <w:t>。</w:t>
      </w:r>
    </w:p>
    <w:p>
      <w:pPr>
        <w:adjustRightInd w:val="0"/>
        <w:snapToGrid w:val="0"/>
        <w:spacing w:beforeLines="50" w:line="288" w:lineRule="auto"/>
        <w:ind w:left="690" w:leftChars="100" w:hanging="480" w:hangingChars="200"/>
        <w:rPr>
          <w:rFonts w:hint="eastAsia" w:ascii="宋体" w:cs="Arial"/>
          <w:color w:val="000000" w:themeColor="text1"/>
          <w:sz w:val="24"/>
          <w:szCs w:val="24"/>
        </w:rPr>
      </w:pPr>
      <w:r>
        <w:rPr>
          <w:rFonts w:hint="eastAsia" w:ascii="宋体" w:hAnsi="宋体" w:cs="Arial"/>
          <w:color w:val="000000" w:themeColor="text1"/>
          <w:sz w:val="24"/>
          <w:szCs w:val="24"/>
        </w:rPr>
        <w:t>3</w:t>
      </w:r>
      <w:r>
        <w:rPr>
          <w:rFonts w:ascii="宋体" w:hAnsi="宋体" w:cs="Arial"/>
          <w:color w:val="000000" w:themeColor="text1"/>
          <w:sz w:val="24"/>
          <w:szCs w:val="24"/>
        </w:rPr>
        <w:t xml:space="preserve">.4 </w:t>
      </w:r>
      <w:r>
        <w:rPr>
          <w:rFonts w:hint="eastAsia" w:ascii="宋体" w:hAnsi="宋体" w:cs="Arial"/>
          <w:color w:val="000000" w:themeColor="text1"/>
          <w:sz w:val="24"/>
          <w:szCs w:val="24"/>
        </w:rPr>
        <w:t>返标地点：烟台市开发区开封路</w:t>
      </w:r>
      <w:r>
        <w:rPr>
          <w:rFonts w:ascii="宋体" w:hAnsi="宋体" w:cs="Arial"/>
          <w:color w:val="000000" w:themeColor="text1"/>
          <w:sz w:val="24"/>
          <w:szCs w:val="24"/>
        </w:rPr>
        <w:t>8</w:t>
      </w:r>
      <w:r>
        <w:rPr>
          <w:rFonts w:hint="eastAsia" w:ascii="宋体" w:hAnsi="宋体" w:cs="Arial"/>
          <w:color w:val="000000" w:themeColor="text1"/>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Lines="50" w:line="288" w:lineRule="auto"/>
        <w:ind w:left="210" w:leftChars="100"/>
        <w:rPr>
          <w:rFonts w:hint="default" w:ascii="宋体" w:hAnsi="宋体" w:cs="Arial" w:eastAsiaTheme="minorEastAsia"/>
          <w:color w:val="000000"/>
          <w:sz w:val="24"/>
          <w:szCs w:val="24"/>
          <w:lang w:val="en-US" w:eastAsia="zh-CN"/>
        </w:rPr>
      </w:pPr>
      <w:r>
        <w:rPr>
          <w:rFonts w:hint="eastAsia" w:ascii="宋体" w:hAnsi="宋体" w:cs="Arial"/>
          <w:color w:val="000000"/>
          <w:sz w:val="24"/>
          <w:szCs w:val="24"/>
        </w:rPr>
        <w:t>3.6技术答疑部门：于经理（电话13583522631）</w:t>
      </w:r>
    </w:p>
    <w:p>
      <w:pPr>
        <w:adjustRightInd w:val="0"/>
        <w:snapToGrid w:val="0"/>
        <w:spacing w:beforeLines="50" w:line="288" w:lineRule="auto"/>
        <w:ind w:left="210" w:leftChars="100"/>
        <w:rPr>
          <w:rFonts w:hint="eastAsia" w:ascii="宋体" w:cs="Arial"/>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8</w:t>
      </w:r>
      <w:r>
        <w:rPr>
          <w:rFonts w:hint="eastAsia" w:ascii="宋体" w:hAnsi="宋体" w:cs="Arial"/>
          <w:sz w:val="24"/>
          <w:szCs w:val="24"/>
        </w:rPr>
        <w:t>月</w:t>
      </w:r>
      <w:r>
        <w:rPr>
          <w:rFonts w:hint="eastAsia" w:ascii="宋体" w:hAnsi="宋体" w:cs="Arial"/>
          <w:sz w:val="24"/>
          <w:szCs w:val="24"/>
          <w:lang w:val="en-US" w:eastAsia="zh-CN"/>
        </w:rPr>
        <w:t>22</w:t>
      </w:r>
      <w:r>
        <w:rPr>
          <w:rFonts w:hint="eastAsia" w:ascii="宋体" w:hAnsi="宋体" w:cs="Arial"/>
          <w:sz w:val="24"/>
          <w:szCs w:val="24"/>
        </w:rPr>
        <w:t>日13：3</w:t>
      </w:r>
      <w:r>
        <w:rPr>
          <w:rFonts w:ascii="宋体" w:cs="Arial"/>
          <w:sz w:val="24"/>
          <w:szCs w:val="24"/>
        </w:rPr>
        <w:t>0</w:t>
      </w:r>
    </w:p>
    <w:p>
      <w:pPr>
        <w:adjustRightInd w:val="0"/>
        <w:snapToGrid w:val="0"/>
        <w:spacing w:beforeLines="50" w:line="288" w:lineRule="auto"/>
        <w:ind w:left="210" w:leftChars="100"/>
        <w:rPr>
          <w:rFonts w:hint="eastAsia"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hint="eastAsia"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hint="eastAsia" w:ascii="宋体" w:hAnsi="宋体" w:cs="Arial"/>
          <w:sz w:val="24"/>
          <w:szCs w:val="24"/>
          <w:lang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rPr>
        <w:t>危废三万吨</w:t>
      </w:r>
      <w:r>
        <w:rPr>
          <w:rFonts w:hint="eastAsia" w:ascii="宋体" w:hAnsi="宋体" w:cs="Arial"/>
          <w:sz w:val="24"/>
          <w:szCs w:val="24"/>
          <w:lang w:eastAsia="zh-CN"/>
        </w:rPr>
        <w:t>出渣捞渣机改造</w:t>
      </w:r>
    </w:p>
    <w:p>
      <w:pPr>
        <w:adjustRightInd w:val="0"/>
        <w:snapToGrid w:val="0"/>
        <w:spacing w:beforeLines="50"/>
        <w:ind w:left="241" w:hanging="241" w:hangingChars="100"/>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hint="eastAsia"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hint="eastAsia"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hint="eastAsia"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hint="eastAsia"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hint="eastAsia"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hint="eastAsia"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hint="eastAsia"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hint="eastAsia"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hint="eastAsia"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35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rFonts w:hint="eastAsia"/>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为合同定金），产品到货安装运行验收合格后支付45%，剩余5%为质保金，验收合格之日起</w:t>
      </w:r>
      <w:r>
        <w:rPr>
          <w:rFonts w:hint="eastAsia"/>
          <w:sz w:val="24"/>
          <w:lang w:val="en-US" w:eastAsia="zh-CN"/>
        </w:rPr>
        <w:t>1</w:t>
      </w:r>
      <w:r>
        <w:rPr>
          <w:rFonts w:hint="eastAsia"/>
          <w:sz w:val="24"/>
        </w:rPr>
        <w:t>年支付。其中至少50%以上的款项为银行电子承兑汇票。</w:t>
      </w:r>
    </w:p>
    <w:p>
      <w:pPr>
        <w:widowControl/>
        <w:shd w:val="clear" w:color="auto" w:fill="FFFFFF"/>
        <w:spacing w:before="50" w:line="228" w:lineRule="atLeast"/>
        <w:rPr>
          <w:rFonts w:hint="eastAsia"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hint="eastAsia"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0"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sz w:val="24"/>
          <w:szCs w:val="24"/>
        </w:rPr>
        <w:t>危废三万吨</w:t>
      </w:r>
      <w:r>
        <w:rPr>
          <w:rFonts w:hint="eastAsia" w:ascii="宋体" w:hAnsi="宋体" w:cs="Arial"/>
          <w:sz w:val="24"/>
          <w:szCs w:val="24"/>
          <w:lang w:eastAsia="zh-CN"/>
        </w:rPr>
        <w:t>出渣捞渣机改造</w:t>
      </w:r>
    </w:p>
    <w:tbl>
      <w:tblPr>
        <w:tblStyle w:val="7"/>
        <w:tblW w:w="10847" w:type="dxa"/>
        <w:tblInd w:w="-1241" w:type="dxa"/>
        <w:shd w:val="clear" w:color="auto" w:fill="FFFFFF"/>
        <w:tblLayout w:type="autofit"/>
        <w:tblCellMar>
          <w:top w:w="0" w:type="dxa"/>
          <w:left w:w="0" w:type="dxa"/>
          <w:bottom w:w="0" w:type="dxa"/>
          <w:right w:w="0" w:type="dxa"/>
        </w:tblCellMar>
      </w:tblPr>
      <w:tblGrid>
        <w:gridCol w:w="1511"/>
        <w:gridCol w:w="1269"/>
        <w:gridCol w:w="1121"/>
        <w:gridCol w:w="949"/>
        <w:gridCol w:w="1140"/>
        <w:gridCol w:w="675"/>
        <w:gridCol w:w="1695"/>
        <w:gridCol w:w="2487"/>
      </w:tblGrid>
      <w:tr>
        <w:tblPrEx>
          <w:shd w:val="clear" w:color="auto" w:fill="FFFFFF"/>
          <w:tblCellMar>
            <w:top w:w="0" w:type="dxa"/>
            <w:left w:w="0" w:type="dxa"/>
            <w:bottom w:w="0" w:type="dxa"/>
            <w:right w:w="0" w:type="dxa"/>
          </w:tblCellMar>
        </w:tblPrEx>
        <w:tc>
          <w:tcPr>
            <w:tcW w:w="15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336"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2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9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1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695"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248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tblCellMar>
            <w:top w:w="0" w:type="dxa"/>
            <w:left w:w="0" w:type="dxa"/>
            <w:bottom w:w="0" w:type="dxa"/>
            <w:right w:w="0" w:type="dxa"/>
          </w:tblCellMar>
        </w:tblPrEx>
        <w:trPr>
          <w:trHeight w:val="1174"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beforeLines="50"/>
              <w:ind w:left="240" w:hanging="240" w:hangingChars="100"/>
              <w:rPr>
                <w:rFonts w:hint="default" w:ascii="宋体" w:hAnsi="宋体" w:cs="Arial"/>
                <w:sz w:val="24"/>
                <w:szCs w:val="24"/>
                <w:lang w:val="en-US"/>
              </w:rPr>
            </w:pPr>
            <w:r>
              <w:rPr>
                <w:rFonts w:hint="eastAsia" w:ascii="宋体" w:hAnsi="宋体" w:cs="Arial"/>
                <w:sz w:val="24"/>
                <w:szCs w:val="24"/>
              </w:rPr>
              <w:t>危废三万吨</w:t>
            </w:r>
            <w:r>
              <w:rPr>
                <w:rFonts w:hint="eastAsia" w:ascii="宋体" w:hAnsi="宋体" w:cs="Arial"/>
                <w:sz w:val="24"/>
                <w:szCs w:val="24"/>
                <w:lang w:eastAsia="zh-CN"/>
              </w:rPr>
              <w:t>出渣捞渣机改造</w:t>
            </w:r>
            <w:r>
              <w:rPr>
                <w:rFonts w:hint="eastAsia" w:ascii="宋体" w:hAnsi="宋体" w:cs="Arial"/>
                <w:sz w:val="24"/>
                <w:szCs w:val="24"/>
                <w:lang w:val="en-US" w:eastAsia="zh-CN"/>
              </w:rPr>
              <w:t>技术方案</w:t>
            </w:r>
          </w:p>
          <w:p>
            <w:pPr>
              <w:widowControl/>
              <w:spacing w:line="285" w:lineRule="atLeast"/>
              <w:jc w:val="center"/>
              <w:rPr>
                <w:rFonts w:hint="eastAsia" w:ascii="Calibri" w:hAnsi="Calibri" w:eastAsia="微软雅黑" w:cs="宋体"/>
                <w:color w:val="000000"/>
                <w:kern w:val="0"/>
                <w:szCs w:val="21"/>
              </w:rPr>
            </w:pPr>
          </w:p>
        </w:tc>
        <w:tc>
          <w:tcPr>
            <w:tcW w:w="12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1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eastAsia" w:ascii="Calibri" w:hAnsi="Calibri" w:eastAsia="微软雅黑" w:cs="宋体"/>
                <w:color w:val="000000"/>
                <w:kern w:val="0"/>
                <w:szCs w:val="21"/>
              </w:rPr>
            </w:pPr>
          </w:p>
        </w:tc>
        <w:tc>
          <w:tcPr>
            <w:tcW w:w="9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1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695"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暂不用报价</w:t>
            </w:r>
          </w:p>
        </w:tc>
        <w:tc>
          <w:tcPr>
            <w:tcW w:w="248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备注:本次厂家根据我司的技术要求现场测量了解后提供技术方案</w:t>
            </w:r>
          </w:p>
        </w:tc>
      </w:tr>
      <w:tr>
        <w:tblPrEx>
          <w:tblCellMar>
            <w:top w:w="0" w:type="dxa"/>
            <w:left w:w="0" w:type="dxa"/>
            <w:bottom w:w="0" w:type="dxa"/>
            <w:right w:w="0" w:type="dxa"/>
          </w:tblCellMar>
        </w:tblPrEx>
        <w:trPr>
          <w:trHeight w:val="698"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2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1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9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1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p>
        </w:tc>
        <w:tc>
          <w:tcPr>
            <w:tcW w:w="1695"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p>
        </w:tc>
        <w:tc>
          <w:tcPr>
            <w:tcW w:w="248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p>
        </w:tc>
      </w:tr>
      <w:tr>
        <w:tblPrEx>
          <w:tblCellMar>
            <w:top w:w="0" w:type="dxa"/>
            <w:left w:w="0" w:type="dxa"/>
            <w:bottom w:w="0" w:type="dxa"/>
            <w:right w:w="0" w:type="dxa"/>
          </w:tblCellMar>
        </w:tblPrEx>
        <w:trPr>
          <w:trHeight w:val="67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2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1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9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1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695"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p>
        </w:tc>
        <w:tc>
          <w:tcPr>
            <w:tcW w:w="248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2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1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9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1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ascii="Calibri" w:hAnsi="Calibri" w:eastAsia="微软雅黑" w:cs="宋体"/>
                <w:color w:val="000000"/>
                <w:kern w:val="0"/>
                <w:szCs w:val="21"/>
              </w:rPr>
              <w:t> </w:t>
            </w:r>
          </w:p>
        </w:tc>
        <w:tc>
          <w:tcPr>
            <w:tcW w:w="1695"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p>
        </w:tc>
        <w:tc>
          <w:tcPr>
            <w:tcW w:w="248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rPr>
            </w:pPr>
          </w:p>
        </w:tc>
      </w:tr>
      <w:tr>
        <w:tblPrEx>
          <w:tblCellMar>
            <w:top w:w="0" w:type="dxa"/>
            <w:left w:w="0" w:type="dxa"/>
            <w:bottom w:w="0" w:type="dxa"/>
            <w:right w:w="0" w:type="dxa"/>
          </w:tblCellMar>
        </w:tblPrEx>
        <w:trPr>
          <w:trHeight w:val="600" w:hRule="atLeast"/>
        </w:trPr>
        <w:tc>
          <w:tcPr>
            <w:tcW w:w="10847"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rPr>
            </w:pPr>
          </w:p>
        </w:tc>
      </w:tr>
      <w:tr>
        <w:tblPrEx>
          <w:tblCellMar>
            <w:top w:w="0" w:type="dxa"/>
            <w:left w:w="0" w:type="dxa"/>
            <w:bottom w:w="0" w:type="dxa"/>
            <w:right w:w="0" w:type="dxa"/>
          </w:tblCellMar>
        </w:tblPrEx>
        <w:tc>
          <w:tcPr>
            <w:tcW w:w="10847"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备注：</w:t>
      </w:r>
      <w:r>
        <w:rPr>
          <w:rFonts w:ascii="宋体" w:hAnsi="宋体" w:eastAsia="宋体" w:cs="宋体"/>
          <w:color w:val="FF0000"/>
          <w:kern w:val="0"/>
          <w:sz w:val="20"/>
          <w:szCs w:val="20"/>
        </w:rPr>
        <w:t>1.</w:t>
      </w:r>
      <w:r>
        <w:rPr>
          <w:rFonts w:hint="eastAsia" w:ascii="宋体" w:hAnsi="宋体" w:eastAsia="宋体" w:cs="宋体"/>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after="120" w:line="362" w:lineRule="atLeas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Pr>
        <w:pStyle w:val="2"/>
        <w:rPr>
          <w:rFonts w:hint="eastAsia"/>
        </w:rPr>
      </w:pPr>
    </w:p>
    <w:p>
      <w:pPr>
        <w:widowControl/>
        <w:shd w:val="clear" w:color="auto" w:fill="FFFFFF"/>
        <w:spacing w:after="120" w:line="362" w:lineRule="atLeast"/>
        <w:rPr>
          <w:rFonts w:hint="eastAsia" w:ascii="宋体" w:hAnsi="宋体" w:eastAsia="宋体" w:cs="宋体"/>
          <w:color w:val="FF0000"/>
          <w:kern w:val="0"/>
          <w:sz w:val="20"/>
          <w:szCs w:val="20"/>
        </w:rPr>
      </w:pPr>
    </w:p>
    <w:p>
      <w:pPr>
        <w:widowControl/>
        <w:shd w:val="clear" w:color="auto" w:fill="FFFFFF"/>
        <w:spacing w:after="120" w:line="362" w:lineRule="atLeast"/>
        <w:rPr>
          <w:rFonts w:hint="eastAsia" w:ascii="宋体" w:hAnsi="宋体" w:eastAsia="宋体" w:cs="宋体"/>
          <w:color w:val="FF0000"/>
          <w:kern w:val="0"/>
          <w:sz w:val="20"/>
          <w:szCs w:val="20"/>
        </w:rPr>
      </w:pPr>
    </w:p>
    <w:p>
      <w:pPr>
        <w:widowControl/>
        <w:shd w:val="clear" w:color="auto" w:fill="FFFFFF"/>
        <w:spacing w:after="120" w:line="362" w:lineRule="atLeast"/>
        <w:rPr>
          <w:rFonts w:hint="eastAsia" w:ascii="宋体" w:hAnsi="宋体" w:eastAsia="宋体" w:cs="宋体"/>
          <w:color w:val="FF0000"/>
          <w:kern w:val="0"/>
          <w:sz w:val="20"/>
          <w:szCs w:val="20"/>
        </w:rPr>
      </w:pPr>
    </w:p>
    <w:p>
      <w:pPr>
        <w:widowControl/>
        <w:shd w:val="clear" w:color="auto" w:fill="FFFFFF"/>
        <w:spacing w:after="120" w:line="362" w:lineRule="atLeast"/>
        <w:rPr>
          <w:rFonts w:hint="eastAsia" w:ascii="宋体" w:hAnsi="宋体" w:eastAsia="宋体" w:cs="宋体"/>
          <w:color w:val="FF0000"/>
          <w:kern w:val="0"/>
          <w:sz w:val="20"/>
          <w:szCs w:val="20"/>
          <w:lang w:val="en-US" w:eastAsia="zh-CN"/>
        </w:rPr>
      </w:pPr>
      <w:r>
        <w:rPr>
          <w:rFonts w:hint="eastAsia" w:ascii="宋体" w:hAnsi="宋体" w:eastAsia="宋体" w:cs="宋体"/>
          <w:color w:val="FF0000"/>
          <w:kern w:val="0"/>
          <w:sz w:val="20"/>
          <w:szCs w:val="20"/>
          <w:lang w:val="en-US" w:eastAsia="zh-CN"/>
        </w:rPr>
        <w:t>附件二：</w:t>
      </w:r>
    </w:p>
    <w:p>
      <w:pPr>
        <w:pStyle w:val="3"/>
        <w:snapToGrid w:val="0"/>
        <w:spacing w:line="360" w:lineRule="auto"/>
        <w:contextualSpacing/>
        <w:jc w:val="center"/>
        <w:rPr>
          <w:rFonts w:hint="eastAsia" w:ascii="宋体" w:hAnsi="宋体" w:eastAsia="宋体"/>
          <w:b/>
          <w:sz w:val="32"/>
          <w:szCs w:val="32"/>
        </w:rPr>
      </w:pPr>
      <w:bookmarkStart w:id="0" w:name="OLE_LINK22"/>
      <w:bookmarkStart w:id="1" w:name="_Toc511296724"/>
      <w:bookmarkStart w:id="2" w:name="OLE_LINK21"/>
      <w:r>
        <w:rPr>
          <w:rFonts w:hint="eastAsia" w:ascii="宋体" w:hAnsi="宋体" w:eastAsia="宋体"/>
          <w:b/>
          <w:sz w:val="32"/>
          <w:szCs w:val="32"/>
        </w:rPr>
        <w:t>鑫广绿环三万吨焚烧</w:t>
      </w:r>
      <w:r>
        <w:rPr>
          <w:rFonts w:ascii="宋体" w:hAnsi="宋体" w:eastAsia="宋体"/>
          <w:b/>
          <w:sz w:val="32"/>
          <w:szCs w:val="32"/>
        </w:rPr>
        <w:t>车间大出渣机技术招标文件</w:t>
      </w:r>
    </w:p>
    <w:p>
      <w:pPr>
        <w:pStyle w:val="3"/>
        <w:snapToGrid w:val="0"/>
        <w:spacing w:line="360" w:lineRule="auto"/>
        <w:contextualSpacing/>
        <w:outlineLvl w:val="0"/>
        <w:rPr>
          <w:rFonts w:hint="eastAsia" w:ascii="宋体" w:hAnsi="宋体" w:eastAsia="宋体"/>
          <w:b/>
          <w:sz w:val="32"/>
          <w:szCs w:val="32"/>
        </w:rPr>
      </w:pPr>
      <w:bookmarkStart w:id="3" w:name="_Toc101683582"/>
      <w:r>
        <w:rPr>
          <w:rFonts w:hint="eastAsia" w:ascii="宋体" w:hAnsi="宋体" w:eastAsia="宋体"/>
          <w:b/>
          <w:szCs w:val="21"/>
        </w:rPr>
        <w:t xml:space="preserve"> </w:t>
      </w:r>
      <w:r>
        <w:rPr>
          <w:rFonts w:hint="eastAsia" w:ascii="宋体" w:hAnsi="宋体" w:eastAsia="宋体"/>
          <w:b/>
          <w:sz w:val="32"/>
          <w:szCs w:val="32"/>
        </w:rPr>
        <w:t>设计条件</w:t>
      </w:r>
      <w:bookmarkEnd w:id="3"/>
    </w:p>
    <w:p>
      <w:pPr>
        <w:pStyle w:val="3"/>
        <w:snapToGrid w:val="0"/>
        <w:spacing w:line="360" w:lineRule="auto"/>
        <w:contextualSpacing/>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输送量：正常输送量2000</w:t>
      </w:r>
      <w:r>
        <w:rPr>
          <w:rFonts w:hint="eastAsia" w:ascii="宋体" w:hAnsi="宋体" w:eastAsia="宋体"/>
          <w:sz w:val="28"/>
          <w:szCs w:val="28"/>
        </w:rPr>
        <w:t>kg</w:t>
      </w:r>
      <w:r>
        <w:rPr>
          <w:rFonts w:ascii="宋体" w:hAnsi="宋体" w:eastAsia="宋体"/>
          <w:sz w:val="28"/>
          <w:szCs w:val="28"/>
        </w:rPr>
        <w:t>/h；，最大输送量5000kg/h；厂家应计算链条速度范围和刮板间距、尺寸等至合理值，来满足此要求。</w:t>
      </w:r>
    </w:p>
    <w:p>
      <w:pPr>
        <w:rPr>
          <w:rFonts w:hint="eastAsia"/>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 xml:space="preserve"> 物料粒径：正常10mm，范围0.1-400mm；在极端情况下能够从出料口输送出直径500mm </w:t>
      </w:r>
      <w:r>
        <w:rPr>
          <w:rFonts w:hint="eastAsia" w:ascii="宋体" w:hAnsi="宋体"/>
          <w:sz w:val="28"/>
          <w:szCs w:val="28"/>
        </w:rPr>
        <w:t>，</w:t>
      </w:r>
      <w:r>
        <w:rPr>
          <w:rFonts w:ascii="宋体" w:hAnsi="宋体"/>
          <w:sz w:val="28"/>
          <w:szCs w:val="28"/>
        </w:rPr>
        <w:t>高530mm的料</w:t>
      </w:r>
      <w:r>
        <w:rPr>
          <w:rFonts w:hint="eastAsia" w:ascii="宋体" w:hAnsi="宋体"/>
          <w:sz w:val="28"/>
          <w:szCs w:val="28"/>
        </w:rPr>
        <w:t>桶</w:t>
      </w:r>
      <w:r>
        <w:rPr>
          <w:rFonts w:ascii="宋体" w:hAnsi="宋体"/>
          <w:sz w:val="28"/>
          <w:szCs w:val="28"/>
        </w:rPr>
        <w:t>或焦块。可承受1000kg的大块物料落下的冲击。</w:t>
      </w:r>
      <w:r>
        <w:rPr>
          <w:rFonts w:hint="eastAsia" w:ascii="宋体" w:hAnsi="宋体"/>
          <w:sz w:val="28"/>
          <w:szCs w:val="28"/>
        </w:rPr>
        <w:t>需设置</w:t>
      </w:r>
      <w:r>
        <w:rPr>
          <w:rFonts w:ascii="宋体" w:hAnsi="宋体"/>
          <w:sz w:val="28"/>
          <w:szCs w:val="28"/>
        </w:rPr>
        <w:t>：链条断链保护及跳链保护器</w:t>
      </w:r>
      <w:r>
        <w:rPr>
          <w:rFonts w:hint="eastAsia" w:ascii="宋体" w:hAnsi="宋体"/>
          <w:sz w:val="28"/>
          <w:szCs w:val="28"/>
        </w:rPr>
        <w:t>、</w:t>
      </w:r>
      <w:r>
        <w:rPr>
          <w:rFonts w:ascii="宋体" w:hAnsi="宋体"/>
          <w:sz w:val="28"/>
          <w:szCs w:val="28"/>
        </w:rPr>
        <w:t>传动链条张紧装置</w:t>
      </w:r>
      <w:r>
        <w:rPr>
          <w:rFonts w:hint="eastAsia" w:ascii="宋体" w:hAnsi="宋体"/>
          <w:sz w:val="28"/>
          <w:szCs w:val="28"/>
        </w:rPr>
        <w:t>、</w:t>
      </w:r>
      <w:r>
        <w:rPr>
          <w:rFonts w:ascii="宋体" w:hAnsi="宋体"/>
          <w:sz w:val="28"/>
          <w:szCs w:val="28"/>
        </w:rPr>
        <w:t>过载保护装置</w:t>
      </w:r>
      <w:r>
        <w:rPr>
          <w:rFonts w:hint="eastAsia" w:ascii="宋体" w:hAnsi="宋体"/>
          <w:sz w:val="28"/>
          <w:szCs w:val="28"/>
        </w:rPr>
        <w:t>、</w:t>
      </w:r>
      <w:r>
        <w:rPr>
          <w:rFonts w:ascii="宋体" w:hAnsi="宋体"/>
          <w:sz w:val="28"/>
          <w:szCs w:val="28"/>
        </w:rPr>
        <w:t>传动装置</w:t>
      </w:r>
      <w:r>
        <w:rPr>
          <w:rFonts w:hint="eastAsia" w:ascii="宋体" w:hAnsi="宋体"/>
          <w:sz w:val="28"/>
          <w:szCs w:val="28"/>
        </w:rPr>
        <w:t>、</w:t>
      </w:r>
      <w:r>
        <w:rPr>
          <w:rFonts w:ascii="宋体" w:hAnsi="宋体"/>
          <w:sz w:val="28"/>
          <w:szCs w:val="28"/>
        </w:rPr>
        <w:t>清扫装置</w:t>
      </w:r>
      <w:r>
        <w:rPr>
          <w:rFonts w:hint="eastAsia" w:ascii="宋体" w:hAnsi="宋体"/>
          <w:sz w:val="28"/>
          <w:szCs w:val="28"/>
        </w:rPr>
        <w:t>、</w:t>
      </w:r>
      <w:r>
        <w:rPr>
          <w:rFonts w:ascii="宋体" w:hAnsi="宋体"/>
          <w:sz w:val="28"/>
          <w:szCs w:val="28"/>
        </w:rPr>
        <w:t>自动补水</w:t>
      </w:r>
      <w:r>
        <w:rPr>
          <w:rFonts w:hint="eastAsia" w:ascii="宋体" w:hAnsi="宋体"/>
          <w:sz w:val="28"/>
          <w:szCs w:val="28"/>
        </w:rPr>
        <w:t>、</w:t>
      </w:r>
      <w:r>
        <w:rPr>
          <w:rFonts w:ascii="宋体" w:hAnsi="宋体"/>
          <w:sz w:val="28"/>
          <w:szCs w:val="28"/>
        </w:rPr>
        <w:t>液位计排污口</w:t>
      </w:r>
      <w:r>
        <w:rPr>
          <w:rFonts w:hint="eastAsia" w:ascii="宋体" w:hAnsi="宋体"/>
          <w:sz w:val="28"/>
          <w:szCs w:val="28"/>
        </w:rPr>
        <w:t>、</w:t>
      </w:r>
      <w:r>
        <w:rPr>
          <w:rFonts w:ascii="宋体" w:hAnsi="宋体"/>
          <w:sz w:val="28"/>
          <w:szCs w:val="28"/>
        </w:rPr>
        <w:t>堵料/断链保护</w:t>
      </w:r>
      <w:r>
        <w:rPr>
          <w:rFonts w:hint="eastAsia" w:ascii="宋体" w:hAnsi="宋体"/>
          <w:sz w:val="28"/>
          <w:szCs w:val="28"/>
        </w:rPr>
        <w:t>、</w:t>
      </w:r>
      <w:r>
        <w:rPr>
          <w:rFonts w:ascii="宋体" w:hAnsi="宋体"/>
          <w:sz w:val="28"/>
          <w:szCs w:val="28"/>
        </w:rPr>
        <w:t>出渣机排污口</w:t>
      </w:r>
      <w:r>
        <w:rPr>
          <w:rFonts w:hint="eastAsia" w:ascii="宋体" w:hAnsi="宋体"/>
          <w:sz w:val="28"/>
          <w:szCs w:val="28"/>
        </w:rPr>
        <w:t>等。</w:t>
      </w:r>
    </w:p>
    <w:p>
      <w:pPr>
        <w:pStyle w:val="3"/>
        <w:snapToGrid w:val="0"/>
        <w:spacing w:line="360" w:lineRule="auto"/>
        <w:contextualSpacing/>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 xml:space="preserve"> 物料温度（进水前）：1100℃；槽内水：最高温度约80-100℃，PH值5-12；</w:t>
      </w:r>
    </w:p>
    <w:p>
      <w:pPr>
        <w:pStyle w:val="3"/>
        <w:snapToGrid w:val="0"/>
        <w:spacing w:line="360" w:lineRule="auto"/>
        <w:contextualSpacing/>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工作噪声低于85分贝。</w:t>
      </w:r>
    </w:p>
    <w:p>
      <w:pPr>
        <w:rPr>
          <w:rFonts w:hint="eastAsia"/>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室内布置。连续输送，每天24小时工作，全年工作330天，年运行时间8000小时。</w:t>
      </w:r>
      <w:r>
        <w:rPr>
          <w:rFonts w:hint="eastAsia" w:ascii="宋体" w:hAnsi="宋体"/>
          <w:sz w:val="28"/>
          <w:szCs w:val="28"/>
        </w:rPr>
        <w:t>传动轴</w:t>
      </w:r>
      <w:r>
        <w:rPr>
          <w:rFonts w:ascii="宋体" w:hAnsi="宋体"/>
          <w:sz w:val="28"/>
          <w:szCs w:val="28"/>
        </w:rPr>
        <w:t>密封性能不低于</w:t>
      </w:r>
      <w:r>
        <w:rPr>
          <w:rFonts w:hint="eastAsia" w:ascii="宋体" w:hAnsi="宋体"/>
          <w:sz w:val="28"/>
          <w:szCs w:val="28"/>
        </w:rPr>
        <w:t>15000小时</w:t>
      </w:r>
      <w:r>
        <w:rPr>
          <w:rFonts w:ascii="宋体" w:hAnsi="宋体"/>
          <w:sz w:val="28"/>
          <w:szCs w:val="28"/>
        </w:rPr>
        <w:t>；</w:t>
      </w:r>
      <w:r>
        <w:rPr>
          <w:rFonts w:hint="eastAsia" w:ascii="宋体" w:hAnsi="宋体"/>
          <w:kern w:val="0"/>
          <w:sz w:val="28"/>
          <w:szCs w:val="28"/>
        </w:rPr>
        <w:t>耐磨板使用寿命不低于50000小时；</w:t>
      </w:r>
      <w:r>
        <w:rPr>
          <w:rFonts w:ascii="宋体" w:hAnsi="宋体"/>
          <w:sz w:val="28"/>
          <w:szCs w:val="28"/>
        </w:rPr>
        <w:t>链条</w:t>
      </w:r>
      <w:r>
        <w:rPr>
          <w:rFonts w:hint="eastAsia" w:ascii="宋体" w:hAnsi="宋体"/>
          <w:bCs/>
          <w:sz w:val="28"/>
          <w:szCs w:val="28"/>
        </w:rPr>
        <w:t>使用寿命不低于1</w:t>
      </w:r>
      <w:r>
        <w:rPr>
          <w:rFonts w:ascii="宋体" w:hAnsi="宋体"/>
          <w:bCs/>
          <w:sz w:val="28"/>
          <w:szCs w:val="28"/>
        </w:rPr>
        <w:t>5</w:t>
      </w:r>
      <w:r>
        <w:rPr>
          <w:rFonts w:hint="eastAsia" w:ascii="宋体" w:hAnsi="宋体"/>
          <w:bCs/>
          <w:sz w:val="28"/>
          <w:szCs w:val="28"/>
        </w:rPr>
        <w:t>000小时</w:t>
      </w:r>
      <w:r>
        <w:rPr>
          <w:rFonts w:ascii="宋体" w:hAnsi="宋体"/>
          <w:bCs/>
          <w:sz w:val="28"/>
          <w:szCs w:val="28"/>
        </w:rPr>
        <w:t>。</w:t>
      </w:r>
    </w:p>
    <w:p>
      <w:pPr>
        <w:pStyle w:val="3"/>
        <w:snapToGrid w:val="0"/>
        <w:spacing w:line="360" w:lineRule="auto"/>
        <w:contextualSpacing/>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系统设计使用寿命为10年，除正常更换易损件外（常用易损件最低使用寿命为一年），保证整机一次连续正常运行4年以上，无因设备制造质量、结构设计缺陷而造成的停机事故。</w:t>
      </w:r>
    </w:p>
    <w:p>
      <w:pPr>
        <w:pStyle w:val="3"/>
        <w:snapToGrid w:val="0"/>
        <w:spacing w:line="360" w:lineRule="auto"/>
        <w:contextualSpacing/>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w:t>
      </w:r>
      <w:r>
        <w:rPr>
          <w:rFonts w:ascii="宋体" w:hAnsi="宋体" w:eastAsia="宋体"/>
          <w:sz w:val="28"/>
          <w:szCs w:val="28"/>
        </w:rPr>
        <w:t>水封刮板出渣机电机需要正转和点动反转。</w:t>
      </w:r>
    </w:p>
    <w:p>
      <w:pPr>
        <w:pStyle w:val="3"/>
        <w:snapToGrid w:val="0"/>
        <w:spacing w:line="360" w:lineRule="auto"/>
        <w:contextualSpacing/>
        <w:rPr>
          <w:rFonts w:hint="eastAsia" w:ascii="宋体" w:hAnsi="宋体" w:eastAsia="宋体"/>
          <w:sz w:val="28"/>
          <w:szCs w:val="28"/>
        </w:rPr>
      </w:pPr>
      <w:r>
        <w:rPr>
          <w:rFonts w:ascii="宋体" w:hAnsi="宋体" w:eastAsia="宋体"/>
          <w:sz w:val="28"/>
          <w:szCs w:val="28"/>
        </w:rPr>
        <w:t>8</w:t>
      </w:r>
      <w:r>
        <w:rPr>
          <w:rFonts w:hint="eastAsia" w:ascii="宋体" w:hAnsi="宋体" w:eastAsia="宋体"/>
          <w:sz w:val="28"/>
          <w:szCs w:val="28"/>
        </w:rPr>
        <w:t>、</w:t>
      </w:r>
      <w:r>
        <w:rPr>
          <w:rFonts w:ascii="宋体" w:hAnsi="宋体" w:eastAsia="宋体"/>
          <w:sz w:val="28"/>
          <w:szCs w:val="28"/>
        </w:rPr>
        <w:t>设计制作采用重型严重冲击载荷设计的水封刮板出渣机。</w:t>
      </w:r>
      <w:r>
        <w:rPr>
          <w:rFonts w:hint="eastAsia" w:ascii="宋体" w:hAnsi="宋体" w:eastAsia="宋体"/>
          <w:sz w:val="28"/>
          <w:szCs w:val="28"/>
        </w:rPr>
        <w:t>捞出</w:t>
      </w:r>
      <w:r>
        <w:rPr>
          <w:rFonts w:ascii="宋体" w:hAnsi="宋体" w:eastAsia="宋体"/>
          <w:sz w:val="28"/>
          <w:szCs w:val="28"/>
        </w:rPr>
        <w:t>的炉渣不应流水。</w:t>
      </w:r>
    </w:p>
    <w:p>
      <w:pPr>
        <w:pStyle w:val="3"/>
        <w:snapToGrid w:val="0"/>
        <w:spacing w:line="360" w:lineRule="auto"/>
        <w:contextualSpacing/>
        <w:rPr>
          <w:rFonts w:hint="eastAsia" w:ascii="宋体" w:hAnsi="宋体" w:eastAsia="宋体"/>
          <w:sz w:val="28"/>
          <w:szCs w:val="28"/>
        </w:rPr>
      </w:pPr>
      <w:r>
        <w:rPr>
          <w:rFonts w:ascii="宋体" w:hAnsi="宋体" w:eastAsia="宋体"/>
          <w:sz w:val="28"/>
          <w:szCs w:val="28"/>
        </w:rPr>
        <w:t>9</w:t>
      </w:r>
      <w:r>
        <w:rPr>
          <w:rFonts w:hint="eastAsia" w:ascii="宋体" w:hAnsi="宋体" w:eastAsia="宋体"/>
          <w:sz w:val="28"/>
          <w:szCs w:val="28"/>
        </w:rPr>
        <w:t>、</w:t>
      </w:r>
      <w:r>
        <w:rPr>
          <w:rFonts w:ascii="宋体" w:hAnsi="宋体" w:eastAsia="宋体"/>
          <w:sz w:val="28"/>
          <w:szCs w:val="28"/>
        </w:rPr>
        <w:t>此水封刮板出渣机安装于0米位置，</w:t>
      </w:r>
      <w:r>
        <w:rPr>
          <w:rFonts w:hint="eastAsia" w:ascii="宋体" w:hAnsi="宋体" w:eastAsia="宋体"/>
          <w:sz w:val="28"/>
          <w:szCs w:val="28"/>
        </w:rPr>
        <w:t>可移动</w:t>
      </w:r>
      <w:r>
        <w:rPr>
          <w:rFonts w:ascii="宋体" w:hAnsi="宋体" w:eastAsia="宋体"/>
          <w:sz w:val="28"/>
          <w:szCs w:val="28"/>
        </w:rPr>
        <w:t>式。</w:t>
      </w:r>
    </w:p>
    <w:p>
      <w:pPr>
        <w:pStyle w:val="3"/>
        <w:snapToGrid w:val="0"/>
        <w:spacing w:line="360" w:lineRule="auto"/>
        <w:contextualSpacing/>
        <w:rPr>
          <w:rFonts w:hint="eastAsia" w:ascii="宋体" w:hAnsi="宋体" w:eastAsia="宋体"/>
          <w:sz w:val="28"/>
          <w:szCs w:val="28"/>
        </w:rPr>
      </w:pPr>
      <w:r>
        <w:rPr>
          <w:rFonts w:ascii="宋体" w:hAnsi="宋体" w:eastAsia="宋体"/>
          <w:sz w:val="28"/>
          <w:szCs w:val="28"/>
        </w:rPr>
        <w:t>10</w:t>
      </w:r>
      <w:r>
        <w:rPr>
          <w:rFonts w:hint="eastAsia" w:ascii="宋体" w:hAnsi="宋体" w:eastAsia="宋体"/>
          <w:sz w:val="28"/>
          <w:szCs w:val="28"/>
        </w:rPr>
        <w:t>、主机变频电机变频控制。电器全从原位置接，保修一年。</w:t>
      </w:r>
    </w:p>
    <w:p>
      <w:pPr>
        <w:pStyle w:val="3"/>
        <w:snapToGrid w:val="0"/>
        <w:spacing w:line="360" w:lineRule="auto"/>
        <w:contextualSpacing/>
        <w:rPr>
          <w:rFonts w:hint="eastAsia" w:ascii="宋体" w:hAnsi="宋体" w:eastAsia="宋体"/>
          <w:sz w:val="28"/>
          <w:szCs w:val="28"/>
        </w:rPr>
      </w:pPr>
      <w:r>
        <w:rPr>
          <w:rFonts w:hint="eastAsia" w:ascii="宋体" w:hAnsi="宋体" w:eastAsia="宋体"/>
          <w:sz w:val="28"/>
          <w:szCs w:val="28"/>
        </w:rPr>
        <w:t>11、</w:t>
      </w:r>
      <w:r>
        <w:rPr>
          <w:rFonts w:ascii="宋体" w:hAnsi="宋体" w:eastAsia="宋体"/>
          <w:sz w:val="28"/>
          <w:szCs w:val="28"/>
        </w:rPr>
        <w:t>参与投标厂家，必须到现场实际测量，并有至少</w:t>
      </w:r>
      <w:r>
        <w:rPr>
          <w:rFonts w:hint="eastAsia" w:ascii="宋体" w:hAnsi="宋体" w:eastAsia="宋体"/>
          <w:sz w:val="28"/>
          <w:szCs w:val="28"/>
        </w:rPr>
        <w:t>3家</w:t>
      </w:r>
      <w:r>
        <w:rPr>
          <w:rFonts w:ascii="宋体" w:hAnsi="宋体" w:eastAsia="宋体"/>
          <w:sz w:val="28"/>
          <w:szCs w:val="28"/>
        </w:rPr>
        <w:t>以上危废同类型出渣机</w:t>
      </w:r>
      <w:r>
        <w:rPr>
          <w:rFonts w:hint="eastAsia" w:ascii="宋体" w:hAnsi="宋体" w:eastAsia="宋体"/>
          <w:sz w:val="28"/>
          <w:szCs w:val="28"/>
        </w:rPr>
        <w:t>设计</w:t>
      </w:r>
      <w:r>
        <w:rPr>
          <w:rFonts w:ascii="宋体" w:hAnsi="宋体" w:eastAsia="宋体"/>
          <w:sz w:val="28"/>
          <w:szCs w:val="28"/>
        </w:rPr>
        <w:t>、安装业绩。</w:t>
      </w:r>
      <w:bookmarkEnd w:id="0"/>
      <w:bookmarkEnd w:id="1"/>
      <w:bookmarkEnd w:id="2"/>
    </w:p>
    <w:p>
      <w:pPr>
        <w:widowControl/>
        <w:shd w:val="clear" w:color="auto" w:fill="FFFFFF"/>
        <w:spacing w:after="120" w:line="362" w:lineRule="atLeast"/>
        <w:rPr>
          <w:rFonts w:hint="eastAsia" w:ascii="宋体" w:hAnsi="宋体" w:eastAsia="宋体" w:cs="宋体"/>
          <w:color w:val="FF0000"/>
          <w:kern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382A"/>
    <w:rsid w:val="000C410F"/>
    <w:rsid w:val="000D681A"/>
    <w:rsid w:val="000E563C"/>
    <w:rsid w:val="00107CD0"/>
    <w:rsid w:val="00112796"/>
    <w:rsid w:val="001410A4"/>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1647"/>
    <w:rsid w:val="0036217E"/>
    <w:rsid w:val="00362E49"/>
    <w:rsid w:val="00372150"/>
    <w:rsid w:val="00373B73"/>
    <w:rsid w:val="00382655"/>
    <w:rsid w:val="0039013A"/>
    <w:rsid w:val="003B5F9F"/>
    <w:rsid w:val="003C3D24"/>
    <w:rsid w:val="003C5C95"/>
    <w:rsid w:val="003C6F7F"/>
    <w:rsid w:val="003E12D0"/>
    <w:rsid w:val="003F7F32"/>
    <w:rsid w:val="0043019D"/>
    <w:rsid w:val="00432098"/>
    <w:rsid w:val="00444103"/>
    <w:rsid w:val="00450BF7"/>
    <w:rsid w:val="00475165"/>
    <w:rsid w:val="00475DD6"/>
    <w:rsid w:val="0048223B"/>
    <w:rsid w:val="004901EA"/>
    <w:rsid w:val="004A03A0"/>
    <w:rsid w:val="004A0767"/>
    <w:rsid w:val="004A7823"/>
    <w:rsid w:val="004B5FA5"/>
    <w:rsid w:val="004D1947"/>
    <w:rsid w:val="004E138E"/>
    <w:rsid w:val="004E4E03"/>
    <w:rsid w:val="004F5138"/>
    <w:rsid w:val="00505527"/>
    <w:rsid w:val="00512E43"/>
    <w:rsid w:val="00513F00"/>
    <w:rsid w:val="00514087"/>
    <w:rsid w:val="005209B5"/>
    <w:rsid w:val="00553E8B"/>
    <w:rsid w:val="00575C04"/>
    <w:rsid w:val="00594E4F"/>
    <w:rsid w:val="005A4D44"/>
    <w:rsid w:val="005A6410"/>
    <w:rsid w:val="005B0D04"/>
    <w:rsid w:val="005B76A2"/>
    <w:rsid w:val="005C5C3E"/>
    <w:rsid w:val="005D2C84"/>
    <w:rsid w:val="005E5CC3"/>
    <w:rsid w:val="005E65B3"/>
    <w:rsid w:val="005E7804"/>
    <w:rsid w:val="005F0263"/>
    <w:rsid w:val="00607A01"/>
    <w:rsid w:val="00615783"/>
    <w:rsid w:val="00632B90"/>
    <w:rsid w:val="006412C1"/>
    <w:rsid w:val="00646865"/>
    <w:rsid w:val="00651257"/>
    <w:rsid w:val="00653620"/>
    <w:rsid w:val="006623CF"/>
    <w:rsid w:val="00664629"/>
    <w:rsid w:val="00681060"/>
    <w:rsid w:val="00695433"/>
    <w:rsid w:val="006B6216"/>
    <w:rsid w:val="006C002B"/>
    <w:rsid w:val="006C1D04"/>
    <w:rsid w:val="006C4F8B"/>
    <w:rsid w:val="00705D49"/>
    <w:rsid w:val="00710AF0"/>
    <w:rsid w:val="00713C95"/>
    <w:rsid w:val="00730A08"/>
    <w:rsid w:val="007319C9"/>
    <w:rsid w:val="0074107E"/>
    <w:rsid w:val="00753768"/>
    <w:rsid w:val="00755B9E"/>
    <w:rsid w:val="00761DBA"/>
    <w:rsid w:val="00763450"/>
    <w:rsid w:val="00785693"/>
    <w:rsid w:val="00785E80"/>
    <w:rsid w:val="00786615"/>
    <w:rsid w:val="00791BE1"/>
    <w:rsid w:val="007A1350"/>
    <w:rsid w:val="007A2576"/>
    <w:rsid w:val="007D1F4E"/>
    <w:rsid w:val="007D5026"/>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06BB3"/>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4250"/>
    <w:rsid w:val="00A557E9"/>
    <w:rsid w:val="00A7377B"/>
    <w:rsid w:val="00A75594"/>
    <w:rsid w:val="00AA48E0"/>
    <w:rsid w:val="00AD00F4"/>
    <w:rsid w:val="00B2599F"/>
    <w:rsid w:val="00B67268"/>
    <w:rsid w:val="00B85243"/>
    <w:rsid w:val="00BA614A"/>
    <w:rsid w:val="00BC7CC8"/>
    <w:rsid w:val="00BE5B46"/>
    <w:rsid w:val="00BF78B3"/>
    <w:rsid w:val="00C07DC0"/>
    <w:rsid w:val="00C12FD1"/>
    <w:rsid w:val="00C202F1"/>
    <w:rsid w:val="00C2117D"/>
    <w:rsid w:val="00C33906"/>
    <w:rsid w:val="00C43B7B"/>
    <w:rsid w:val="00C52D27"/>
    <w:rsid w:val="00C57497"/>
    <w:rsid w:val="00C57EEE"/>
    <w:rsid w:val="00C623A7"/>
    <w:rsid w:val="00C7415B"/>
    <w:rsid w:val="00C806C3"/>
    <w:rsid w:val="00CA13FE"/>
    <w:rsid w:val="00CA1F9A"/>
    <w:rsid w:val="00CC08AC"/>
    <w:rsid w:val="00CC2F22"/>
    <w:rsid w:val="00CC4266"/>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2479E"/>
    <w:rsid w:val="00E431E9"/>
    <w:rsid w:val="00E72628"/>
    <w:rsid w:val="00E77A0A"/>
    <w:rsid w:val="00E839AF"/>
    <w:rsid w:val="00E87099"/>
    <w:rsid w:val="00EB1C34"/>
    <w:rsid w:val="00EB200D"/>
    <w:rsid w:val="00EB425A"/>
    <w:rsid w:val="00EC046C"/>
    <w:rsid w:val="00EC1B56"/>
    <w:rsid w:val="00EC2EDB"/>
    <w:rsid w:val="00EC448C"/>
    <w:rsid w:val="00EC4E0B"/>
    <w:rsid w:val="00EF30F9"/>
    <w:rsid w:val="00EF76BA"/>
    <w:rsid w:val="00F045C6"/>
    <w:rsid w:val="00F1034D"/>
    <w:rsid w:val="00F20449"/>
    <w:rsid w:val="00F25100"/>
    <w:rsid w:val="00F3751F"/>
    <w:rsid w:val="00F45FA3"/>
    <w:rsid w:val="00F54B86"/>
    <w:rsid w:val="00F57F97"/>
    <w:rsid w:val="00F63402"/>
    <w:rsid w:val="00F63B09"/>
    <w:rsid w:val="00F77308"/>
    <w:rsid w:val="00F81E7A"/>
    <w:rsid w:val="00F93DF4"/>
    <w:rsid w:val="00FA433A"/>
    <w:rsid w:val="00FB76E7"/>
    <w:rsid w:val="00FC2D69"/>
    <w:rsid w:val="00FD4202"/>
    <w:rsid w:val="00FD4778"/>
    <w:rsid w:val="00FE3510"/>
    <w:rsid w:val="00FE4DB3"/>
    <w:rsid w:val="00FF15C5"/>
    <w:rsid w:val="00FF3A97"/>
    <w:rsid w:val="00FF7CCF"/>
    <w:rsid w:val="0D8A6269"/>
    <w:rsid w:val="0E174D04"/>
    <w:rsid w:val="0E3E3CC5"/>
    <w:rsid w:val="0FDC2513"/>
    <w:rsid w:val="13E24FED"/>
    <w:rsid w:val="17C4340A"/>
    <w:rsid w:val="18B80DF6"/>
    <w:rsid w:val="1B736F3A"/>
    <w:rsid w:val="1CB47ED1"/>
    <w:rsid w:val="205B17BA"/>
    <w:rsid w:val="20EA7FBE"/>
    <w:rsid w:val="24C5010E"/>
    <w:rsid w:val="269A173F"/>
    <w:rsid w:val="28F37446"/>
    <w:rsid w:val="2B4E3FCD"/>
    <w:rsid w:val="2E26463A"/>
    <w:rsid w:val="30817963"/>
    <w:rsid w:val="35E720B4"/>
    <w:rsid w:val="38940D02"/>
    <w:rsid w:val="39164315"/>
    <w:rsid w:val="3948475F"/>
    <w:rsid w:val="3A4E08BC"/>
    <w:rsid w:val="3F4545CC"/>
    <w:rsid w:val="41FB791D"/>
    <w:rsid w:val="4E44686F"/>
    <w:rsid w:val="5052696E"/>
    <w:rsid w:val="575A66B9"/>
    <w:rsid w:val="57AD28EF"/>
    <w:rsid w:val="5B0C6070"/>
    <w:rsid w:val="5C372B44"/>
    <w:rsid w:val="600032CE"/>
    <w:rsid w:val="632846B6"/>
    <w:rsid w:val="63463B29"/>
    <w:rsid w:val="64C841A6"/>
    <w:rsid w:val="69DB26BB"/>
    <w:rsid w:val="6B21034E"/>
    <w:rsid w:val="72C27AC2"/>
    <w:rsid w:val="753C7A6C"/>
    <w:rsid w:val="768D4B1F"/>
    <w:rsid w:val="771338B2"/>
    <w:rsid w:val="7B6518FB"/>
    <w:rsid w:val="7EC7023A"/>
    <w:rsid w:val="7EF34676"/>
    <w:rsid w:val="7FB37E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_Style 64"/>
    <w:basedOn w:val="1"/>
    <w:qFormat/>
    <w:uiPriority w:val="0"/>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2648-B263-4E6C-991A-CAF35BE3862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601</Words>
  <Characters>3429</Characters>
  <Lines>28</Lines>
  <Paragraphs>8</Paragraphs>
  <TotalTime>3</TotalTime>
  <ScaleCrop>false</ScaleCrop>
  <LinksUpToDate>false</LinksUpToDate>
  <CharactersWithSpaces>4022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2022-02-28T02:54:00Z</dcterms:created>
  <dc:creator>微软用户</dc:creator>
  <cp:lastModifiedBy>88</cp:lastModifiedBy>
  <dcterms:modified xsi:type="dcterms:W3CDTF">2022-08-15T05:42:13Z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998DE185064841FAB9FDAED2D9FA7C87</vt:lpwstr>
  </property>
</Properties>
</file>