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rPr>
        <w:t>液碱及硫酸、盐酸年度招标书</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kinsoku/>
        <w:wordWrap/>
        <w:overflowPunct/>
        <w:topLinePunct w:val="0"/>
        <w:autoSpaceDE/>
        <w:autoSpaceDN/>
        <w:bidi w:val="0"/>
        <w:adjustRightInd w:val="0"/>
        <w:snapToGrid w:val="0"/>
        <w:spacing w:beforeLines="50" w:line="360" w:lineRule="auto"/>
        <w:ind w:left="239" w:leftChars="114" w:firstLine="480" w:firstLineChars="20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鑫广绿环再生资源股份有限公司现对液碱、硫酸及盐酸进行年度招标，特邀请贵公司参加投标。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项目内容：液碱、硫酸及盐酸年度招标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2.3 投标人须至少有合作3家以上的业绩。</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2.4 提供产品出厂合格证书。</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2.5 相关产品属于危化易制毒品，需要具备危化品经营许可证、非药品类易制毒化学品经营备案证及运输资质等。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22年1月10日（周一）。</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22年1月17日12：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000000"/>
          <w:sz w:val="24"/>
          <w:szCs w:val="24"/>
        </w:rPr>
      </w:pPr>
      <w:r>
        <w:rPr>
          <w:rFonts w:hint="eastAsia" w:ascii="宋体" w:hAnsi="宋体" w:cs="Arial"/>
          <w:color w:val="000000"/>
          <w:sz w:val="24"/>
          <w:szCs w:val="24"/>
        </w:rPr>
        <w:t>3.6技术答疑部门：于经理（电话13583522631）</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年1月17日13：3</w:t>
      </w:r>
      <w:r>
        <w:rPr>
          <w:rFonts w:ascii="宋体" w:cs="Arial"/>
          <w:color w:val="FF0000"/>
          <w:sz w:val="24"/>
          <w:szCs w:val="24"/>
        </w:rPr>
        <w:t>0</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cs="Arial"/>
          <w:color w:val="000000"/>
          <w:sz w:val="24"/>
          <w:szCs w:val="24"/>
        </w:rPr>
      </w:pPr>
      <w:r>
        <w:rPr>
          <w:rFonts w:hint="eastAsia" w:ascii="宋体" w:hAnsi="宋体" w:cs="Arial"/>
          <w:color w:val="000000"/>
          <w:sz w:val="24"/>
          <w:szCs w:val="24"/>
        </w:rPr>
        <w:t>3.9 开标方式:内部开标</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cs="Arial"/>
          <w:sz w:val="24"/>
          <w:szCs w:val="24"/>
        </w:rPr>
        <w:t>本招标文件仅适用与本次投标所叙述液碱、硫酸及盐酸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keepNext w:val="0"/>
        <w:keepLines w:val="0"/>
        <w:pageBreakBefore w:val="0"/>
        <w:widowControl/>
        <w:shd w:val="clear" w:color="auto" w:fill="FFFFFF"/>
        <w:kinsoku/>
        <w:wordWrap/>
        <w:overflowPunct/>
        <w:topLinePunct w:val="0"/>
        <w:autoSpaceDE/>
        <w:autoSpaceDN/>
        <w:bidi w:val="0"/>
        <w:spacing w:before="156" w:line="360" w:lineRule="auto"/>
        <w:ind w:left="720" w:hanging="720"/>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keepNext w:val="0"/>
        <w:keepLines w:val="0"/>
        <w:pageBreakBefore w:val="0"/>
        <w:widowControl/>
        <w:shd w:val="clear" w:color="auto" w:fill="FFFFFF"/>
        <w:kinsoku/>
        <w:wordWrap/>
        <w:overflowPunct/>
        <w:topLinePunct w:val="0"/>
        <w:autoSpaceDE/>
        <w:autoSpaceDN/>
        <w:bidi w:val="0"/>
        <w:spacing w:before="156" w:line="360" w:lineRule="auto"/>
        <w:ind w:left="149"/>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6.1 中标人依据要求按时按量交货，自接到订单通知后3天内必须到货。逾期造成招标人的相应损失须由中标人承担。</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中标人按照招标人的要求将货物运抵招标人指定位置，招标人仅提供必要人员及叉车等内部可提供的协助，如需吊装等设备需中标人提前联系并承担费用。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6.3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keepNext w:val="0"/>
        <w:keepLines w:val="0"/>
        <w:pageBreakBefore w:val="0"/>
        <w:numPr>
          <w:numId w:val="0"/>
        </w:numPr>
        <w:kinsoku/>
        <w:wordWrap/>
        <w:overflowPunct/>
        <w:topLinePunct w:val="0"/>
        <w:autoSpaceDE/>
        <w:autoSpaceDN/>
        <w:bidi w:val="0"/>
        <w:spacing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keepNext w:val="0"/>
        <w:keepLines w:val="0"/>
        <w:pageBreakBefore w:val="0"/>
        <w:numPr>
          <w:numId w:val="0"/>
        </w:numPr>
        <w:kinsoku/>
        <w:wordWrap/>
        <w:overflowPunct/>
        <w:topLinePunct w:val="0"/>
        <w:autoSpaceDE/>
        <w:autoSpaceDN/>
        <w:bidi w:val="0"/>
        <w:spacing w:line="360" w:lineRule="auto"/>
        <w:ind w:firstLine="480" w:firstLineChars="200"/>
        <w:textAlignment w:val="auto"/>
        <w:rPr>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招标人固定给中标者结款，中标人每月23号前针对上个月（上月20号至本月20号）的采购数量对账并开具发票，办理入库，货款支付自发票开具日期押款2个月（M+2</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液碱、硫酸及盐酸</w:t>
      </w:r>
    </w:p>
    <w:tbl>
      <w:tblPr>
        <w:tblStyle w:val="5"/>
        <w:tblW w:w="9762" w:type="dxa"/>
        <w:tblInd w:w="-1241" w:type="dxa"/>
        <w:shd w:val="clear" w:color="auto" w:fill="FFFFFF"/>
        <w:tblLayout w:type="autofit"/>
        <w:tblCellMar>
          <w:top w:w="0" w:type="dxa"/>
          <w:left w:w="0" w:type="dxa"/>
          <w:bottom w:w="0" w:type="dxa"/>
          <w:right w:w="0" w:type="dxa"/>
        </w:tblCellMar>
      </w:tblPr>
      <w:tblGrid>
        <w:gridCol w:w="1376"/>
        <w:gridCol w:w="1391"/>
        <w:gridCol w:w="1417"/>
        <w:gridCol w:w="2396"/>
        <w:gridCol w:w="1446"/>
        <w:gridCol w:w="723"/>
        <w:gridCol w:w="1013"/>
      </w:tblGrid>
      <w:tr>
        <w:tblPrEx>
          <w:tblCellMar>
            <w:top w:w="0" w:type="dxa"/>
            <w:left w:w="0" w:type="dxa"/>
            <w:bottom w:w="0" w:type="dxa"/>
            <w:right w:w="0" w:type="dxa"/>
          </w:tblCellMar>
        </w:tblPrEx>
        <w:trPr>
          <w:trHeight w:val="714" w:hRule="atLeast"/>
        </w:trPr>
        <w:tc>
          <w:tcPr>
            <w:tcW w:w="137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386"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2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2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预估出厂价</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加价幅度 元/吨</w:t>
            </w: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（含运费、杂费,利润等所有）</w:t>
            </w:r>
          </w:p>
        </w:tc>
      </w:tr>
      <w:tr>
        <w:tblPrEx>
          <w:tblCellMar>
            <w:top w:w="0" w:type="dxa"/>
            <w:left w:w="0" w:type="dxa"/>
            <w:bottom w:w="0" w:type="dxa"/>
            <w:right w:w="0" w:type="dxa"/>
          </w:tblCellMar>
        </w:tblPrEx>
        <w:trPr>
          <w:trHeight w:val="1428"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ascii="Calibri" w:hAnsi="Calibri" w:eastAsia="微软雅黑" w:cs="宋体"/>
                <w:color w:val="000000"/>
                <w:kern w:val="0"/>
                <w:szCs w:val="21"/>
              </w:rPr>
            </w:pPr>
            <w:r>
              <w:rPr>
                <w:rFonts w:hint="eastAsia" w:ascii="宋体" w:hAnsi="宋体" w:cs="Arial"/>
                <w:sz w:val="24"/>
                <w:szCs w:val="24"/>
              </w:rPr>
              <w:t xml:space="preserve"> 碱液</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含量32 %</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吨</w:t>
            </w:r>
          </w:p>
        </w:tc>
        <w:tc>
          <w:tcPr>
            <w:tcW w:w="2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20吨左右/次，不定期</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60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Arial"/>
                <w:sz w:val="24"/>
                <w:szCs w:val="24"/>
              </w:rPr>
              <w:t>硫酸</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含量31 %</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2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4吨左右/次，不定期</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Arial"/>
                <w:sz w:val="24"/>
                <w:szCs w:val="24"/>
              </w:rPr>
              <w:t>盐酸</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含量98 %</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2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5吨左右/次，不定期</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80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372"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p>
        </w:tc>
      </w:tr>
      <w:tr>
        <w:tblPrEx>
          <w:tblCellMar>
            <w:top w:w="0" w:type="dxa"/>
            <w:left w:w="0" w:type="dxa"/>
            <w:bottom w:w="0" w:type="dxa"/>
            <w:right w:w="0" w:type="dxa"/>
          </w:tblCellMar>
        </w:tblPrEx>
        <w:trPr>
          <w:trHeight w:val="714"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接到通知起3天内。</w:t>
            </w:r>
          </w:p>
        </w:tc>
      </w:tr>
      <w:tr>
        <w:tblPrEx>
          <w:tblCellMar>
            <w:top w:w="0" w:type="dxa"/>
            <w:left w:w="0" w:type="dxa"/>
            <w:bottom w:w="0" w:type="dxa"/>
            <w:right w:w="0" w:type="dxa"/>
          </w:tblCellMar>
        </w:tblPrEx>
        <w:trPr>
          <w:trHeight w:val="543"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p>
        </w:tc>
      </w:tr>
    </w:tbl>
    <w:p>
      <w:pPr>
        <w:widowControl/>
        <w:shd w:val="clear" w:color="auto" w:fill="FFFFFF"/>
        <w:spacing w:after="120" w:line="362" w:lineRule="atLeast"/>
        <w:rPr>
          <w:rFonts w:ascii="宋体" w:hAnsi="宋体" w:eastAsia="宋体" w:cs="宋体"/>
          <w:b/>
          <w:bCs/>
          <w:color w:val="FF0000"/>
          <w:kern w:val="0"/>
          <w:sz w:val="20"/>
          <w:szCs w:val="20"/>
        </w:rPr>
      </w:pP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备注：</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1</w:t>
      </w:r>
      <w:r>
        <w:rPr>
          <w:rFonts w:hint="eastAsia" w:asciiTheme="minorEastAsia" w:hAnsiTheme="minorEastAsia" w:cstheme="minorEastAsia"/>
          <w:b/>
          <w:bCs/>
          <w:color w:val="FF0000"/>
          <w:sz w:val="24"/>
          <w:szCs w:val="24"/>
          <w:lang w:val="en-US" w:eastAsia="zh-CN"/>
        </w:rPr>
        <w:t>、</w:t>
      </w:r>
      <w:r>
        <w:rPr>
          <w:rFonts w:hint="eastAsia" w:asciiTheme="minorEastAsia" w:hAnsiTheme="minorEastAsia" w:eastAsiaTheme="minorEastAsia" w:cstheme="minorEastAsia"/>
          <w:b/>
          <w:bCs/>
          <w:color w:val="FF0000"/>
          <w:sz w:val="24"/>
          <w:szCs w:val="24"/>
          <w:lang w:val="en-US" w:eastAsia="zh-CN"/>
        </w:rPr>
        <w:t>本页必须加盖公章</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2、此报价包含13%或3%增值税发票和运费</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3</w:t>
      </w:r>
      <w:r>
        <w:rPr>
          <w:rFonts w:hint="eastAsia" w:asciiTheme="minorEastAsia" w:hAnsiTheme="minorEastAsia" w:cstheme="minorEastAsia"/>
          <w:b/>
          <w:bCs/>
          <w:color w:val="FF0000"/>
          <w:sz w:val="24"/>
          <w:szCs w:val="24"/>
          <w:lang w:val="en-US" w:eastAsia="zh-CN"/>
        </w:rPr>
        <w:t>、</w:t>
      </w:r>
      <w:r>
        <w:rPr>
          <w:rFonts w:hint="eastAsia" w:asciiTheme="minorEastAsia" w:hAnsiTheme="minorEastAsia" w:eastAsiaTheme="minorEastAsia" w:cstheme="minorEastAsia"/>
          <w:b/>
          <w:bCs/>
          <w:color w:val="FF0000"/>
          <w:sz w:val="24"/>
          <w:szCs w:val="24"/>
          <w:lang w:val="en-US" w:eastAsia="zh-CN"/>
        </w:rPr>
        <w:t xml:space="preserve"> 出厂价参考生意社报价，在满足相关要求的前提下，选择加价幅度最低者为中标方。</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4、随标书附带相关的业</w:t>
      </w:r>
      <w:bookmarkStart w:id="0" w:name="_GoBack"/>
      <w:bookmarkEnd w:id="0"/>
      <w:r>
        <w:rPr>
          <w:rFonts w:hint="eastAsia" w:asciiTheme="minorEastAsia" w:hAnsiTheme="minorEastAsia" w:eastAsiaTheme="minorEastAsia" w:cstheme="minorEastAsia"/>
          <w:b/>
          <w:bCs/>
          <w:color w:val="FF0000"/>
          <w:sz w:val="24"/>
          <w:szCs w:val="24"/>
          <w:lang w:val="en-US" w:eastAsia="zh-CN"/>
        </w:rPr>
        <w:t>绩资料。</w:t>
      </w:r>
    </w:p>
    <w:p>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150A5"/>
    <w:rsid w:val="00025FAC"/>
    <w:rsid w:val="00040F0E"/>
    <w:rsid w:val="000449D3"/>
    <w:rsid w:val="00045592"/>
    <w:rsid w:val="00071144"/>
    <w:rsid w:val="000A2EF0"/>
    <w:rsid w:val="000C0250"/>
    <w:rsid w:val="000C382A"/>
    <w:rsid w:val="000C410F"/>
    <w:rsid w:val="000D681A"/>
    <w:rsid w:val="000E563C"/>
    <w:rsid w:val="000E6FCB"/>
    <w:rsid w:val="000F5A16"/>
    <w:rsid w:val="00107703"/>
    <w:rsid w:val="00113A90"/>
    <w:rsid w:val="00137D3B"/>
    <w:rsid w:val="00142897"/>
    <w:rsid w:val="00144BCF"/>
    <w:rsid w:val="00152DCE"/>
    <w:rsid w:val="00156F61"/>
    <w:rsid w:val="00156F80"/>
    <w:rsid w:val="001742A8"/>
    <w:rsid w:val="00175A9D"/>
    <w:rsid w:val="00181E36"/>
    <w:rsid w:val="001901A1"/>
    <w:rsid w:val="001B15F0"/>
    <w:rsid w:val="001B1A0D"/>
    <w:rsid w:val="001B4430"/>
    <w:rsid w:val="00224475"/>
    <w:rsid w:val="0025310E"/>
    <w:rsid w:val="00267035"/>
    <w:rsid w:val="00286795"/>
    <w:rsid w:val="002B31FF"/>
    <w:rsid w:val="002D3457"/>
    <w:rsid w:val="002E09D1"/>
    <w:rsid w:val="002F417D"/>
    <w:rsid w:val="00304760"/>
    <w:rsid w:val="003057A3"/>
    <w:rsid w:val="003204E2"/>
    <w:rsid w:val="003271A4"/>
    <w:rsid w:val="00335472"/>
    <w:rsid w:val="00344F57"/>
    <w:rsid w:val="00346AD3"/>
    <w:rsid w:val="0036217E"/>
    <w:rsid w:val="00372150"/>
    <w:rsid w:val="00380FC1"/>
    <w:rsid w:val="00382655"/>
    <w:rsid w:val="0039013A"/>
    <w:rsid w:val="003C5C95"/>
    <w:rsid w:val="003C6F7F"/>
    <w:rsid w:val="003D0541"/>
    <w:rsid w:val="003F7F32"/>
    <w:rsid w:val="0040580F"/>
    <w:rsid w:val="00441DA8"/>
    <w:rsid w:val="00450BF7"/>
    <w:rsid w:val="00457E84"/>
    <w:rsid w:val="004818CA"/>
    <w:rsid w:val="00481C70"/>
    <w:rsid w:val="00481D62"/>
    <w:rsid w:val="0048223B"/>
    <w:rsid w:val="004A0767"/>
    <w:rsid w:val="004B6D4C"/>
    <w:rsid w:val="004D0877"/>
    <w:rsid w:val="004D1947"/>
    <w:rsid w:val="004D2F97"/>
    <w:rsid w:val="004E4E03"/>
    <w:rsid w:val="00505527"/>
    <w:rsid w:val="00512E43"/>
    <w:rsid w:val="005209B5"/>
    <w:rsid w:val="00521FF6"/>
    <w:rsid w:val="005314A8"/>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D49"/>
    <w:rsid w:val="00713C95"/>
    <w:rsid w:val="00727F64"/>
    <w:rsid w:val="00730A08"/>
    <w:rsid w:val="007319C9"/>
    <w:rsid w:val="0074107E"/>
    <w:rsid w:val="00755B9E"/>
    <w:rsid w:val="00785693"/>
    <w:rsid w:val="0078616B"/>
    <w:rsid w:val="00791BE1"/>
    <w:rsid w:val="007E7C73"/>
    <w:rsid w:val="00812CD2"/>
    <w:rsid w:val="008329EB"/>
    <w:rsid w:val="00832F80"/>
    <w:rsid w:val="00845F49"/>
    <w:rsid w:val="00852484"/>
    <w:rsid w:val="00855D00"/>
    <w:rsid w:val="008607B3"/>
    <w:rsid w:val="00862AF3"/>
    <w:rsid w:val="008733B6"/>
    <w:rsid w:val="00883654"/>
    <w:rsid w:val="008E63AE"/>
    <w:rsid w:val="008F5810"/>
    <w:rsid w:val="008F6DFA"/>
    <w:rsid w:val="009A1747"/>
    <w:rsid w:val="009A4198"/>
    <w:rsid w:val="009B1D21"/>
    <w:rsid w:val="009F10BA"/>
    <w:rsid w:val="00A1247B"/>
    <w:rsid w:val="00A12AA4"/>
    <w:rsid w:val="00A15A8D"/>
    <w:rsid w:val="00A4367E"/>
    <w:rsid w:val="00A54250"/>
    <w:rsid w:val="00A557E9"/>
    <w:rsid w:val="00A74A75"/>
    <w:rsid w:val="00A75594"/>
    <w:rsid w:val="00AE4689"/>
    <w:rsid w:val="00B2599F"/>
    <w:rsid w:val="00B67268"/>
    <w:rsid w:val="00B809B5"/>
    <w:rsid w:val="00B85243"/>
    <w:rsid w:val="00B9759D"/>
    <w:rsid w:val="00BA614A"/>
    <w:rsid w:val="00BE5B46"/>
    <w:rsid w:val="00BF372C"/>
    <w:rsid w:val="00C07DC0"/>
    <w:rsid w:val="00C202F1"/>
    <w:rsid w:val="00C30C33"/>
    <w:rsid w:val="00C41D64"/>
    <w:rsid w:val="00C57EEE"/>
    <w:rsid w:val="00C7415B"/>
    <w:rsid w:val="00C806C3"/>
    <w:rsid w:val="00C8742D"/>
    <w:rsid w:val="00CC2F22"/>
    <w:rsid w:val="00CD4BD3"/>
    <w:rsid w:val="00CE21E2"/>
    <w:rsid w:val="00CE5376"/>
    <w:rsid w:val="00D075E8"/>
    <w:rsid w:val="00D20D5C"/>
    <w:rsid w:val="00D239DF"/>
    <w:rsid w:val="00D2699D"/>
    <w:rsid w:val="00D36004"/>
    <w:rsid w:val="00D43021"/>
    <w:rsid w:val="00D47B16"/>
    <w:rsid w:val="00D72A95"/>
    <w:rsid w:val="00D73AF0"/>
    <w:rsid w:val="00D778C0"/>
    <w:rsid w:val="00D97BEB"/>
    <w:rsid w:val="00DC24E1"/>
    <w:rsid w:val="00DD1C91"/>
    <w:rsid w:val="00DE5125"/>
    <w:rsid w:val="00E134CD"/>
    <w:rsid w:val="00E24C0B"/>
    <w:rsid w:val="00E51867"/>
    <w:rsid w:val="00E66C88"/>
    <w:rsid w:val="00E7059A"/>
    <w:rsid w:val="00E77A0A"/>
    <w:rsid w:val="00E839AF"/>
    <w:rsid w:val="00E87099"/>
    <w:rsid w:val="00EB1C34"/>
    <w:rsid w:val="00EB200D"/>
    <w:rsid w:val="00EC1B56"/>
    <w:rsid w:val="00EC2EDB"/>
    <w:rsid w:val="00EC448C"/>
    <w:rsid w:val="00EE71BC"/>
    <w:rsid w:val="00F0499C"/>
    <w:rsid w:val="00F1034D"/>
    <w:rsid w:val="00F25100"/>
    <w:rsid w:val="00F8144C"/>
    <w:rsid w:val="00F817EB"/>
    <w:rsid w:val="00F81E7A"/>
    <w:rsid w:val="00FA433A"/>
    <w:rsid w:val="00FC2D69"/>
    <w:rsid w:val="00FC447A"/>
    <w:rsid w:val="00FF3A97"/>
    <w:rsid w:val="00FF7CCF"/>
    <w:rsid w:val="7DB06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D76B31-249A-4E4E-87AB-C84DA6274D2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349</Words>
  <Characters>1990</Characters>
  <Lines>16</Lines>
  <Paragraphs>4</Paragraphs>
  <TotalTime>1</TotalTime>
  <ScaleCrop>false</ScaleCrop>
  <LinksUpToDate>false</LinksUpToDate>
  <CharactersWithSpaces>2335</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夹心梨</cp:lastModifiedBy>
  <dcterms:modified xsi:type="dcterms:W3CDTF">2022-01-10T06:09:29Z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47F77A2B6899402CB8203A97EF14C3DA</vt:lpwstr>
  </property>
</Properties>
</file>