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01" w:firstLineChars="50"/>
        <w:rPr>
          <w:rFonts w:ascii="宋体" w:hAnsi="宋体" w:cs="Arial"/>
          <w:b/>
          <w:color w:val="000000"/>
          <w:sz w:val="40"/>
          <w:szCs w:val="40"/>
          <w:u w:val="single"/>
        </w:rPr>
      </w:pPr>
      <w:r>
        <w:rPr>
          <w:rFonts w:hint="eastAsia" w:ascii="宋体" w:hAnsi="宋体" w:cs="Arial"/>
          <w:b/>
          <w:color w:val="000000"/>
          <w:sz w:val="40"/>
          <w:szCs w:val="40"/>
          <w:u w:val="single"/>
        </w:rPr>
        <w:t>厂区应急器材箱配备及有害气体检测器采购</w:t>
      </w:r>
    </w:p>
    <w:p>
      <w:pPr>
        <w:widowControl/>
        <w:shd w:val="clear" w:color="auto" w:fill="FFFFFF"/>
        <w:spacing w:before="156" w:line="228" w:lineRule="atLeast"/>
        <w:ind w:firstLine="1205" w:firstLineChars="300"/>
        <w:rPr>
          <w:rFonts w:ascii="宋体" w:hAnsi="宋体" w:cs="Arial"/>
          <w:b/>
          <w:color w:val="000000"/>
          <w:sz w:val="40"/>
          <w:szCs w:val="40"/>
          <w:u w:val="single"/>
        </w:rPr>
      </w:pP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鑫广绿环再生资源股份有限公司现对厂区应急器材箱配备及有害气体检测器采购项目进行招标，特邀请贵公司参加投标。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项目内容：厂区应急器材箱配备及有害气体检测器采购清单</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7</w:t>
      </w:r>
      <w:r>
        <w:rPr>
          <w:rFonts w:hint="eastAsia" w:ascii="宋体" w:hAnsi="宋体" w:cs="Arial"/>
          <w:sz w:val="24"/>
          <w:szCs w:val="24"/>
        </w:rPr>
        <w:t>月</w:t>
      </w:r>
      <w:r>
        <w:rPr>
          <w:rFonts w:hint="eastAsia" w:ascii="宋体" w:hAnsi="宋体" w:cs="Arial"/>
          <w:sz w:val="24"/>
          <w:szCs w:val="24"/>
          <w:lang w:val="en-US" w:eastAsia="zh-CN"/>
        </w:rPr>
        <w:t>15</w:t>
      </w:r>
      <w:r>
        <w:rPr>
          <w:rFonts w:hint="eastAsia" w:ascii="宋体" w:hAnsi="宋体" w:cs="Arial"/>
          <w:sz w:val="24"/>
          <w:szCs w:val="24"/>
        </w:rPr>
        <w:t>日（周四）。</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22</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20年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22</w:t>
      </w:r>
      <w:r>
        <w:rPr>
          <w:rFonts w:hint="eastAsia" w:ascii="宋体" w:hAnsi="宋体" w:cs="Arial"/>
          <w:color w:val="FF0000"/>
          <w:sz w:val="24"/>
          <w:szCs w:val="24"/>
        </w:rPr>
        <w:t>日14：00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1、适用范围：厂区应急器材箱配备及有害气体检测器采购清单</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bookmarkStart w:id="1" w:name="_GoBack"/>
      <w:bookmarkEnd w:id="1"/>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宋体" w:hAnsi="宋体" w:eastAsia="宋体" w:cs="宋体"/>
          <w:color w:val="000000"/>
          <w:kern w:val="0"/>
          <w:sz w:val="20"/>
          <w:szCs w:val="20"/>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项目名称：厂区应急器材箱配备及有害气体检测器采购清单</w:t>
      </w:r>
    </w:p>
    <w:tbl>
      <w:tblPr>
        <w:tblStyle w:val="5"/>
        <w:tblW w:w="8900" w:type="dxa"/>
        <w:tblInd w:w="-3" w:type="dxa"/>
        <w:tblLayout w:type="fixed"/>
        <w:tblCellMar>
          <w:top w:w="0" w:type="dxa"/>
          <w:left w:w="108" w:type="dxa"/>
          <w:bottom w:w="0" w:type="dxa"/>
          <w:right w:w="108" w:type="dxa"/>
        </w:tblCellMar>
      </w:tblPr>
      <w:tblGrid>
        <w:gridCol w:w="675"/>
        <w:gridCol w:w="1563"/>
        <w:gridCol w:w="1134"/>
        <w:gridCol w:w="850"/>
        <w:gridCol w:w="851"/>
        <w:gridCol w:w="1148"/>
        <w:gridCol w:w="1120"/>
        <w:gridCol w:w="1559"/>
      </w:tblGrid>
      <w:tr>
        <w:tblPrEx>
          <w:tblCellMar>
            <w:top w:w="0" w:type="dxa"/>
            <w:left w:w="108" w:type="dxa"/>
            <w:bottom w:w="0" w:type="dxa"/>
            <w:right w:w="108" w:type="dxa"/>
          </w:tblCellMar>
        </w:tblPrEx>
        <w:trPr>
          <w:trHeight w:val="375" w:hRule="atLeast"/>
          <w:tblHeader/>
        </w:trPr>
        <w:tc>
          <w:tcPr>
            <w:tcW w:w="675" w:type="dxa"/>
            <w:tcBorders>
              <w:top w:val="single" w:color="000000" w:sz="8" w:space="0"/>
              <w:left w:val="single" w:color="000000" w:sz="8" w:space="0"/>
              <w:bottom w:val="single" w:color="000000" w:sz="8" w:space="0"/>
              <w:right w:val="single" w:color="000000" w:sz="8" w:space="0"/>
            </w:tcBorders>
            <w:shd w:val="clear" w:color="000000" w:fill="003366"/>
            <w:noWrap/>
            <w:vAlign w:val="center"/>
          </w:tcPr>
          <w:p>
            <w:pPr>
              <w:widowControl/>
              <w:rPr>
                <w:rFonts w:ascii="微软雅黑" w:hAnsi="微软雅黑" w:eastAsia="微软雅黑" w:cs="宋体"/>
                <w:b/>
                <w:bCs/>
                <w:color w:val="FFFFCC"/>
                <w:kern w:val="0"/>
                <w:sz w:val="20"/>
                <w:szCs w:val="20"/>
              </w:rPr>
            </w:pPr>
          </w:p>
        </w:tc>
        <w:tc>
          <w:tcPr>
            <w:tcW w:w="1563"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名称</w:t>
            </w:r>
          </w:p>
        </w:tc>
        <w:tc>
          <w:tcPr>
            <w:tcW w:w="1134"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规格型号</w:t>
            </w:r>
          </w:p>
        </w:tc>
        <w:tc>
          <w:tcPr>
            <w:tcW w:w="850"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数量</w:t>
            </w:r>
          </w:p>
        </w:tc>
        <w:tc>
          <w:tcPr>
            <w:tcW w:w="851"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单位</w:t>
            </w:r>
          </w:p>
        </w:tc>
        <w:tc>
          <w:tcPr>
            <w:tcW w:w="1148"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单价</w:t>
            </w:r>
          </w:p>
        </w:tc>
        <w:tc>
          <w:tcPr>
            <w:tcW w:w="1120"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 xml:space="preserve"> 总价 </w:t>
            </w:r>
          </w:p>
        </w:tc>
        <w:tc>
          <w:tcPr>
            <w:tcW w:w="1559"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备注</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氢气检测仪</w:t>
            </w:r>
          </w:p>
        </w:tc>
        <w:tc>
          <w:tcPr>
            <w:tcW w:w="1134" w:type="dxa"/>
            <w:tcBorders>
              <w:top w:val="nil"/>
              <w:left w:val="nil"/>
              <w:bottom w:val="nil"/>
              <w:right w:val="nil"/>
            </w:tcBorders>
            <w:shd w:val="clear" w:color="auto" w:fill="auto"/>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msa</w:t>
            </w:r>
          </w:p>
        </w:tc>
        <w:tc>
          <w:tcPr>
            <w:tcW w:w="8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3</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vAlign w:val="bottom"/>
          </w:tcPr>
          <w:p>
            <w:pPr>
              <w:widowControl/>
              <w:jc w:val="center"/>
              <w:rPr>
                <w:rFonts w:cs="宋体" w:asciiTheme="majorEastAsia" w:hAnsiTheme="majorEastAsia" w:eastAsiaTheme="majorEastAsia"/>
                <w:color w:val="000000"/>
                <w:kern w:val="0"/>
                <w:sz w:val="20"/>
                <w:szCs w:val="20"/>
              </w:rPr>
            </w:pPr>
            <w:r>
              <w:rPr>
                <w:rFonts w:hint="eastAsia"/>
                <w:sz w:val="24"/>
                <w:szCs w:val="24"/>
                <w:vertAlign w:val="baseline"/>
                <w:lang w:val="en-US" w:eastAsia="zh-CN"/>
              </w:rPr>
              <w:t>单一检测仪</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4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w:t>
            </w:r>
          </w:p>
        </w:tc>
        <w:tc>
          <w:tcPr>
            <w:tcW w:w="1563" w:type="dxa"/>
            <w:tcBorders>
              <w:top w:val="nil"/>
              <w:left w:val="nil"/>
              <w:bottom w:val="nil"/>
              <w:right w:val="nil"/>
            </w:tcBorders>
            <w:shd w:val="clear" w:color="auto" w:fill="auto"/>
            <w:noWrap/>
          </w:tcPr>
          <w:p>
            <w:pPr>
              <w:widowControl/>
              <w:jc w:val="left"/>
              <w:rPr>
                <w:rFonts w:cs="宋体" w:asciiTheme="majorEastAsia" w:hAnsiTheme="majorEastAsia" w:eastAsiaTheme="majorEastAsia"/>
                <w:color w:val="000000"/>
                <w:kern w:val="0"/>
                <w:sz w:val="20"/>
                <w:szCs w:val="20"/>
              </w:rPr>
            </w:pPr>
            <w:r>
              <w:rPr>
                <w:rFonts w:hint="eastAsia" w:ascii="宋体" w:hAnsi="宋体" w:eastAsia="宋体" w:cs="宋体"/>
                <w:kern w:val="0"/>
                <w:sz w:val="24"/>
                <w:szCs w:val="24"/>
                <w:lang w:val="en-US" w:eastAsia="zh-CN" w:bidi="ar"/>
              </w:rPr>
              <w:t>氨</w:t>
            </w:r>
            <w:r>
              <w:rPr>
                <w:rFonts w:ascii="宋体" w:hAnsi="宋体" w:eastAsia="宋体" w:cs="宋体"/>
                <w:kern w:val="0"/>
                <w:sz w:val="24"/>
                <w:szCs w:val="24"/>
                <w:lang w:val="en-US" w:eastAsia="zh-CN" w:bidi="ar"/>
              </w:rPr>
              <w:t>气检测仪</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msa</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3</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个</w:t>
            </w:r>
          </w:p>
        </w:tc>
        <w:tc>
          <w:tcPr>
            <w:tcW w:w="1148" w:type="dxa"/>
            <w:tcBorders>
              <w:top w:val="nil"/>
              <w:left w:val="nil"/>
              <w:bottom w:val="nil"/>
              <w:right w:val="nil"/>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p>
        </w:tc>
        <w:tc>
          <w:tcPr>
            <w:tcW w:w="1120" w:type="dxa"/>
            <w:tcBorders>
              <w:top w:val="nil"/>
              <w:left w:val="single" w:color="000000" w:sz="8" w:space="0"/>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sz w:val="24"/>
                <w:szCs w:val="24"/>
                <w:vertAlign w:val="baseline"/>
                <w:lang w:val="en-US" w:eastAsia="zh-CN"/>
              </w:rPr>
              <w:t>单一检测仪</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480"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3</w:t>
            </w:r>
          </w:p>
        </w:tc>
        <w:tc>
          <w:tcPr>
            <w:tcW w:w="1563" w:type="dxa"/>
            <w:tcBorders>
              <w:top w:val="single" w:color="000000" w:sz="8" w:space="0"/>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光气检测仪</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msa</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2</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single" w:color="000000" w:sz="8" w:space="0"/>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sz w:val="24"/>
                <w:szCs w:val="24"/>
                <w:vertAlign w:val="baseline"/>
                <w:lang w:val="en-US" w:eastAsia="zh-CN"/>
              </w:rPr>
              <w:t>单一检测仪</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4</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粉尘检测</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msa</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r>
              <w:rPr>
                <w:rFonts w:hint="eastAsia" w:cs="宋体" w:asciiTheme="majorEastAsia" w:hAnsiTheme="majorEastAsia" w:eastAsiaTheme="majorEastAsia"/>
                <w:color w:val="000000"/>
                <w:kern w:val="0"/>
                <w:sz w:val="20"/>
                <w:szCs w:val="20"/>
                <w:lang w:val="en-US" w:eastAsia="zh-CN"/>
              </w:rPr>
              <w:t>2</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具</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sz w:val="24"/>
                <w:szCs w:val="24"/>
                <w:vertAlign w:val="baseline"/>
                <w:lang w:val="en-US" w:eastAsia="zh-CN"/>
              </w:rPr>
              <w:t>单一检测仪</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978"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5</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室外消火栓物资安置箱</w:t>
            </w:r>
          </w:p>
        </w:tc>
        <w:tc>
          <w:tcPr>
            <w:tcW w:w="1134"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13</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ascii="宋体" w:hAnsi="宋体" w:eastAsia="宋体" w:cs="宋体"/>
                <w:sz w:val="24"/>
                <w:szCs w:val="24"/>
              </w:rPr>
              <w:t>内配2盘水带、2把枪头、1把消火栓扳手</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600"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6</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烟雾弹</w:t>
            </w:r>
          </w:p>
        </w:tc>
        <w:tc>
          <w:tcPr>
            <w:tcW w:w="1134"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15</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lang w:val="en-US" w:eastAsia="zh-CN"/>
              </w:rPr>
              <w:t>白色</w:t>
            </w:r>
            <w:r>
              <w:rPr>
                <w:rFonts w:hint="eastAsia" w:cs="宋体" w:asciiTheme="majorEastAsia" w:hAnsiTheme="majorEastAsia" w:eastAsiaTheme="majorEastAsia"/>
                <w:color w:val="000000"/>
                <w:kern w:val="0"/>
                <w:sz w:val="21"/>
                <w:szCs w:val="21"/>
              </w:rPr>
              <w:t>　</w:t>
            </w:r>
          </w:p>
        </w:tc>
      </w:tr>
      <w:tr>
        <w:tblPrEx>
          <w:tblCellMar>
            <w:top w:w="0" w:type="dxa"/>
            <w:left w:w="108" w:type="dxa"/>
            <w:bottom w:w="0" w:type="dxa"/>
            <w:right w:w="108" w:type="dxa"/>
          </w:tblCellMar>
        </w:tblPrEx>
        <w:trPr>
          <w:trHeight w:val="64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7</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烟雾弹</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15</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lang w:val="en-US" w:eastAsia="zh-CN"/>
              </w:rPr>
              <w:t>红色</w:t>
            </w:r>
            <w:r>
              <w:rPr>
                <w:rFonts w:hint="eastAsia" w:cs="宋体" w:asciiTheme="majorEastAsia" w:hAnsiTheme="majorEastAsia" w:eastAsiaTheme="majorEastAsia"/>
                <w:color w:val="000000"/>
                <w:kern w:val="0"/>
                <w:sz w:val="21"/>
                <w:szCs w:val="21"/>
              </w:rPr>
              <w:t>　</w:t>
            </w:r>
          </w:p>
        </w:tc>
      </w:tr>
      <w:tr>
        <w:tblPrEx>
          <w:tblCellMar>
            <w:top w:w="0" w:type="dxa"/>
            <w:left w:w="108" w:type="dxa"/>
            <w:bottom w:w="0" w:type="dxa"/>
            <w:right w:w="108" w:type="dxa"/>
          </w:tblCellMar>
        </w:tblPrEx>
        <w:trPr>
          <w:trHeight w:val="285" w:hRule="atLeast"/>
        </w:trPr>
        <w:tc>
          <w:tcPr>
            <w:tcW w:w="67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8</w:t>
            </w:r>
          </w:p>
        </w:tc>
        <w:tc>
          <w:tcPr>
            <w:tcW w:w="156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硬盘刻录机</w:t>
            </w:r>
          </w:p>
        </w:tc>
        <w:tc>
          <w:tcPr>
            <w:tcW w:w="1134" w:type="dxa"/>
            <w:tcBorders>
              <w:top w:val="nil"/>
              <w:left w:val="nil"/>
              <w:bottom w:val="nil"/>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1</w:t>
            </w:r>
          </w:p>
        </w:tc>
        <w:tc>
          <w:tcPr>
            <w:tcW w:w="851"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台</w:t>
            </w:r>
          </w:p>
        </w:tc>
        <w:tc>
          <w:tcPr>
            <w:tcW w:w="1148" w:type="dxa"/>
            <w:vMerge w:val="restart"/>
            <w:tcBorders>
              <w:top w:val="nil"/>
              <w:left w:val="single" w:color="000000" w:sz="8" w:space="0"/>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vMerge w:val="restart"/>
            <w:tcBorders>
              <w:top w:val="nil"/>
              <w:left w:val="single" w:color="000000" w:sz="8" w:space="0"/>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ind w:firstLine="420" w:firstLineChars="200"/>
              <w:rPr>
                <w:rFonts w:cs="宋体" w:asciiTheme="majorEastAsia" w:hAnsiTheme="majorEastAsia" w:eastAsiaTheme="majorEastAsia"/>
                <w:color w:val="000000"/>
                <w:kern w:val="0"/>
                <w:sz w:val="21"/>
                <w:szCs w:val="21"/>
              </w:rPr>
            </w:pPr>
            <w:r>
              <w:rPr>
                <w:rFonts w:hint="eastAsia" w:ascii="宋体" w:hAnsi="宋体" w:eastAsia="宋体" w:cs="宋体"/>
                <w:sz w:val="21"/>
                <w:szCs w:val="21"/>
                <w:lang w:val="en-US" w:eastAsia="zh-CN"/>
              </w:rPr>
              <w:t>卧式</w:t>
            </w:r>
          </w:p>
        </w:tc>
      </w:tr>
      <w:tr>
        <w:tblPrEx>
          <w:tblCellMar>
            <w:top w:w="0" w:type="dxa"/>
            <w:left w:w="108" w:type="dxa"/>
            <w:bottom w:w="0" w:type="dxa"/>
            <w:right w:w="108" w:type="dxa"/>
          </w:tblCellMar>
        </w:tblPrEx>
        <w:trPr>
          <w:trHeight w:val="285" w:hRule="atLeast"/>
        </w:trPr>
        <w:tc>
          <w:tcPr>
            <w:tcW w:w="675"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63"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nil"/>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48"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2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59"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285" w:hRule="atLeast"/>
        </w:trPr>
        <w:tc>
          <w:tcPr>
            <w:tcW w:w="675"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63"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nil"/>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48"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2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59"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63"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center"/>
          </w:tcPr>
          <w:p>
            <w:pPr>
              <w:widowControl/>
              <w:tabs>
                <w:tab w:val="center" w:pos="459"/>
              </w:tabs>
              <w:jc w:val="center"/>
              <w:rPr>
                <w:rFonts w:hint="eastAsia" w:cs="宋体" w:asciiTheme="majorEastAsia" w:hAnsiTheme="majorEastAsia" w:eastAsiaTheme="majorEastAsia"/>
                <w:color w:val="000000"/>
                <w:kern w:val="0"/>
                <w:sz w:val="20"/>
                <w:szCs w:val="20"/>
                <w:lang w:eastAsia="zh-CN"/>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48"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2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59"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52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9</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干粉灭火器</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rPr>
              <w:t>　</w:t>
            </w:r>
            <w:r>
              <w:rPr>
                <w:rFonts w:hint="eastAsia" w:cs="宋体" w:asciiTheme="majorEastAsia" w:hAnsiTheme="majorEastAsia" w:eastAsiaTheme="majorEastAsia"/>
                <w:color w:val="000000"/>
                <w:kern w:val="0"/>
                <w:sz w:val="20"/>
                <w:szCs w:val="20"/>
                <w:lang w:val="en-US" w:eastAsia="zh-CN"/>
              </w:rPr>
              <w:t>25公斤</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20</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10</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干粉灭火器</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rPr>
              <w:t>　</w:t>
            </w:r>
            <w:r>
              <w:rPr>
                <w:rFonts w:hint="eastAsia" w:cs="宋体" w:asciiTheme="majorEastAsia" w:hAnsiTheme="majorEastAsia" w:eastAsiaTheme="majorEastAsia"/>
                <w:color w:val="000000"/>
                <w:kern w:val="0"/>
                <w:sz w:val="20"/>
                <w:szCs w:val="20"/>
                <w:lang w:val="en-US" w:eastAsia="zh-CN"/>
              </w:rPr>
              <w:t>4公斤</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20</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11</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kern w:val="0"/>
                <w:sz w:val="24"/>
                <w:szCs w:val="24"/>
                <w:lang w:val="en-US" w:eastAsia="zh-CN" w:bidi="ar"/>
              </w:rPr>
              <w:t>干粉灭火器</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rPr>
              <w:t>　</w:t>
            </w:r>
            <w:r>
              <w:rPr>
                <w:rFonts w:hint="eastAsia" w:cs="宋体" w:asciiTheme="majorEastAsia" w:hAnsiTheme="majorEastAsia" w:eastAsiaTheme="majorEastAsia"/>
                <w:color w:val="000000"/>
                <w:kern w:val="0"/>
                <w:sz w:val="20"/>
                <w:szCs w:val="20"/>
                <w:lang w:val="en-US" w:eastAsia="zh-CN"/>
              </w:rPr>
              <w:t>8公斤</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20</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5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12</w:t>
            </w:r>
          </w:p>
        </w:tc>
        <w:tc>
          <w:tcPr>
            <w:tcW w:w="1563" w:type="dxa"/>
            <w:tcBorders>
              <w:top w:val="nil"/>
              <w:left w:val="nil"/>
              <w:bottom w:val="single" w:color="000000" w:sz="8" w:space="0"/>
              <w:right w:val="single" w:color="000000" w:sz="8" w:space="0"/>
            </w:tcBorders>
            <w:shd w:val="clear" w:color="auto" w:fill="auto"/>
            <w:noWrap/>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消防水带</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65牙口</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20</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条</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both"/>
              <w:rPr>
                <w:rFonts w:cs="宋体" w:asciiTheme="majorEastAsia" w:hAnsiTheme="majorEastAsia" w:eastAsiaTheme="majorEastAsia"/>
                <w:color w:val="000000"/>
                <w:kern w:val="0"/>
                <w:sz w:val="20"/>
                <w:szCs w:val="20"/>
              </w:rPr>
            </w:pPr>
            <w:r>
              <w:rPr>
                <w:rFonts w:ascii="宋体" w:hAnsi="宋体" w:eastAsia="宋体" w:cs="宋体"/>
                <w:sz w:val="24"/>
                <w:szCs w:val="24"/>
              </w:rPr>
              <w:t>16公斤压力</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2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13</w:t>
            </w:r>
          </w:p>
        </w:tc>
        <w:tc>
          <w:tcPr>
            <w:tcW w:w="1563" w:type="dxa"/>
            <w:tcBorders>
              <w:top w:val="nil"/>
              <w:left w:val="nil"/>
              <w:bottom w:val="single" w:color="000000" w:sz="8" w:space="0"/>
              <w:right w:val="single" w:color="000000" w:sz="8" w:space="0"/>
            </w:tcBorders>
            <w:shd w:val="clear" w:color="auto" w:fill="auto"/>
            <w:noWrap/>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消防沙箱</w:t>
            </w: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r>
              <w:rPr>
                <w:rFonts w:hint="eastAsia" w:ascii="宋体" w:hAnsi="宋体" w:eastAsia="宋体" w:cs="宋体"/>
                <w:sz w:val="24"/>
                <w:szCs w:val="24"/>
                <w:lang w:val="en-US" w:eastAsia="zh-CN"/>
              </w:rPr>
              <w:t>2立方</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r>
              <w:rPr>
                <w:rFonts w:hint="eastAsia" w:cs="宋体" w:asciiTheme="majorEastAsia" w:hAnsiTheme="majorEastAsia" w:eastAsiaTheme="majorEastAsia"/>
                <w:color w:val="000000"/>
                <w:kern w:val="0"/>
                <w:sz w:val="20"/>
                <w:szCs w:val="20"/>
                <w:lang w:val="en-US" w:eastAsia="zh-CN"/>
              </w:rPr>
              <w:t>3</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ascii="宋体" w:hAnsi="宋体" w:eastAsia="宋体" w:cs="宋体"/>
                <w:sz w:val="24"/>
                <w:szCs w:val="24"/>
              </w:rPr>
              <w:t>含铁锹、沙桶</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630"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14</w:t>
            </w:r>
          </w:p>
        </w:tc>
        <w:tc>
          <w:tcPr>
            <w:tcW w:w="1563" w:type="dxa"/>
            <w:tcBorders>
              <w:top w:val="nil"/>
              <w:left w:val="nil"/>
              <w:bottom w:val="single" w:color="000000" w:sz="8" w:space="0"/>
              <w:right w:val="single" w:color="000000" w:sz="8" w:space="0"/>
            </w:tcBorders>
            <w:shd w:val="clear" w:color="auto" w:fill="auto"/>
            <w:noWrap/>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录音笔</w:t>
            </w:r>
          </w:p>
        </w:tc>
        <w:tc>
          <w:tcPr>
            <w:tcW w:w="1134"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r>
              <w:rPr>
                <w:rFonts w:ascii="宋体" w:hAnsi="宋体" w:eastAsia="宋体" w:cs="宋体"/>
                <w:sz w:val="24"/>
                <w:szCs w:val="24"/>
              </w:rPr>
              <w:t>科大讯飞H1</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2</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lang w:val="en-US" w:eastAsia="zh-CN"/>
              </w:rPr>
              <w:t>个</w:t>
            </w: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ascii="宋体" w:hAnsi="宋体" w:eastAsia="宋体" w:cs="宋体"/>
                <w:sz w:val="24"/>
                <w:szCs w:val="24"/>
                <w:lang w:val="en-US" w:eastAsia="zh-CN"/>
              </w:rPr>
              <w:t>品牌可按同等价位更换，内存128G以上，待机时间长。</w:t>
            </w: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合计金额:</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最终的优惠金额:</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税点：</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报价联系人及电话：</w:t>
            </w:r>
          </w:p>
        </w:tc>
      </w:tr>
      <w:tr>
        <w:tblPrEx>
          <w:tblCellMar>
            <w:top w:w="0" w:type="dxa"/>
            <w:left w:w="108" w:type="dxa"/>
            <w:bottom w:w="0" w:type="dxa"/>
            <w:right w:w="108" w:type="dxa"/>
          </w:tblCellMar>
        </w:tblPrEx>
        <w:trPr>
          <w:trHeight w:val="2404"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备注：</w:t>
            </w:r>
          </w:p>
          <w:p>
            <w:pPr>
              <w:widowControl/>
              <w:jc w:val="left"/>
              <w:rPr>
                <w:rFonts w:hint="eastAsia"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1、此报价包含13%税点，如其他情况注明。</w:t>
            </w:r>
          </w:p>
          <w:p>
            <w:pPr>
              <w:widowControl/>
              <w:shd w:val="clear" w:color="auto" w:fill="FFFFFF"/>
              <w:spacing w:after="120" w:line="362" w:lineRule="atLeast"/>
              <w:rPr>
                <w:rFonts w:cs="宋体" w:asciiTheme="majorEastAsia" w:hAnsiTheme="majorEastAsia" w:eastAsiaTheme="majorEastAsia"/>
                <w:color w:val="FF0000"/>
                <w:kern w:val="0"/>
                <w:sz w:val="20"/>
                <w:szCs w:val="20"/>
              </w:rPr>
            </w:pPr>
            <w:r>
              <w:rPr>
                <w:rFonts w:hint="eastAsia" w:cs="宋体" w:asciiTheme="majorEastAsia" w:hAnsiTheme="majorEastAsia" w:eastAsiaTheme="majorEastAsia"/>
                <w:bCs/>
                <w:color w:val="FF0000"/>
                <w:kern w:val="0"/>
                <w:sz w:val="20"/>
                <w:szCs w:val="20"/>
              </w:rPr>
              <w:t>2、本页必须加盖公章。</w:t>
            </w:r>
          </w:p>
          <w:p>
            <w:pPr>
              <w:widowControl/>
              <w:shd w:val="clear" w:color="auto" w:fill="FFFFFF"/>
              <w:spacing w:after="120" w:line="362" w:lineRule="atLeast"/>
              <w:rPr>
                <w:rFonts w:hint="eastAsia"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3、此报价包含</w:t>
            </w:r>
            <w:r>
              <w:rPr>
                <w:rFonts w:cs="宋体" w:asciiTheme="majorEastAsia" w:hAnsiTheme="majorEastAsia" w:eastAsiaTheme="majorEastAsia"/>
                <w:color w:val="FF0000"/>
                <w:kern w:val="0"/>
                <w:sz w:val="20"/>
                <w:szCs w:val="20"/>
              </w:rPr>
              <w:t>1</w:t>
            </w:r>
            <w:r>
              <w:rPr>
                <w:rFonts w:hint="eastAsia" w:cs="宋体" w:asciiTheme="majorEastAsia" w:hAnsiTheme="majorEastAsia" w:eastAsiaTheme="majorEastAsia"/>
                <w:color w:val="FF0000"/>
                <w:kern w:val="0"/>
                <w:sz w:val="20"/>
                <w:szCs w:val="20"/>
              </w:rPr>
              <w:t>3</w:t>
            </w:r>
            <w:r>
              <w:rPr>
                <w:rFonts w:cs="宋体" w:asciiTheme="majorEastAsia" w:hAnsiTheme="majorEastAsia" w:eastAsiaTheme="majorEastAsia"/>
                <w:color w:val="FF0000"/>
                <w:kern w:val="0"/>
                <w:sz w:val="20"/>
                <w:szCs w:val="20"/>
              </w:rPr>
              <w:t>%</w:t>
            </w:r>
            <w:r>
              <w:rPr>
                <w:rFonts w:hint="eastAsia" w:cs="宋体" w:asciiTheme="majorEastAsia" w:hAnsiTheme="majorEastAsia" w:eastAsiaTheme="majorEastAsia"/>
                <w:color w:val="FF0000"/>
                <w:kern w:val="0"/>
                <w:sz w:val="20"/>
                <w:szCs w:val="20"/>
              </w:rPr>
              <w:t>增值税发票和运费等。</w:t>
            </w:r>
          </w:p>
          <w:p>
            <w:pPr>
              <w:widowControl/>
              <w:shd w:val="clear" w:color="auto" w:fill="FFFFFF"/>
              <w:spacing w:after="120" w:line="362" w:lineRule="atLeast"/>
              <w:rPr>
                <w:rFonts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4、</w:t>
            </w:r>
            <w:r>
              <w:rPr>
                <w:rFonts w:hint="eastAsia" w:cs="宋体" w:asciiTheme="majorEastAsia" w:hAnsiTheme="majorEastAsia" w:eastAsiaTheme="majorEastAsia"/>
                <w:color w:val="FF0000"/>
                <w:kern w:val="0"/>
                <w:sz w:val="20"/>
                <w:szCs w:val="20"/>
                <w:lang w:val="en-US" w:eastAsia="zh-CN"/>
              </w:rPr>
              <w:t>送货周期15</w:t>
            </w:r>
            <w:r>
              <w:rPr>
                <w:rFonts w:hint="eastAsia" w:cs="宋体" w:asciiTheme="majorEastAsia" w:hAnsiTheme="majorEastAsia" w:eastAsiaTheme="majorEastAsia"/>
                <w:color w:val="FF0000"/>
                <w:kern w:val="0"/>
                <w:sz w:val="20"/>
                <w:szCs w:val="20"/>
              </w:rPr>
              <w:t>天，如不能响应，请注明。</w:t>
            </w:r>
          </w:p>
          <w:p>
            <w:pPr>
              <w:widowControl/>
              <w:jc w:val="left"/>
              <w:rPr>
                <w:rFonts w:hint="eastAsia"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5、请随标书提供营业执照。</w:t>
            </w:r>
          </w:p>
          <w:p>
            <w:pPr>
              <w:widowControl/>
              <w:jc w:val="center"/>
              <w:rPr>
                <w:rFonts w:hint="eastAsia"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300" w:hRule="atLeast"/>
        </w:trPr>
        <w:tc>
          <w:tcPr>
            <w:tcW w:w="675" w:type="dxa"/>
            <w:tcBorders>
              <w:top w:val="nil"/>
              <w:left w:val="nil"/>
              <w:bottom w:val="nil"/>
              <w:right w:val="nil"/>
            </w:tcBorders>
            <w:shd w:val="clear" w:color="auto" w:fill="auto"/>
            <w:noWrap/>
            <w:vAlign w:val="bottom"/>
          </w:tcPr>
          <w:p>
            <w:pPr>
              <w:widowControl/>
              <w:rPr>
                <w:rFonts w:ascii="Calibri" w:hAnsi="Calibri" w:eastAsia="宋体" w:cs="宋体"/>
                <w:color w:val="000000"/>
                <w:kern w:val="0"/>
                <w:sz w:val="20"/>
                <w:szCs w:val="20"/>
              </w:rPr>
            </w:pPr>
          </w:p>
        </w:tc>
        <w:tc>
          <w:tcPr>
            <w:tcW w:w="1563"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75" w:type="dxa"/>
            <w:tcBorders>
              <w:top w:val="nil"/>
              <w:left w:val="nil"/>
              <w:bottom w:val="nil"/>
              <w:right w:val="nil"/>
            </w:tcBorders>
            <w:shd w:val="clear" w:color="auto" w:fill="auto"/>
            <w:noWrap/>
            <w:vAlign w:val="bottom"/>
          </w:tcPr>
          <w:p>
            <w:pPr>
              <w:widowControl/>
              <w:rPr>
                <w:rFonts w:ascii="Calibri" w:hAnsi="Calibri" w:eastAsia="宋体" w:cs="宋体"/>
                <w:color w:val="000000"/>
                <w:kern w:val="0"/>
                <w:sz w:val="20"/>
                <w:szCs w:val="20"/>
              </w:rPr>
            </w:pPr>
          </w:p>
        </w:tc>
        <w:tc>
          <w:tcPr>
            <w:tcW w:w="1563"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75" w:type="dxa"/>
            <w:tcBorders>
              <w:top w:val="nil"/>
              <w:left w:val="nil"/>
              <w:bottom w:val="nil"/>
              <w:right w:val="nil"/>
            </w:tcBorders>
            <w:shd w:val="clear" w:color="auto" w:fill="auto"/>
            <w:noWrap/>
            <w:vAlign w:val="bottom"/>
          </w:tcPr>
          <w:p>
            <w:pPr>
              <w:widowControl/>
              <w:rPr>
                <w:rFonts w:ascii="Calibri" w:hAnsi="Calibri" w:eastAsia="宋体" w:cs="宋体"/>
                <w:color w:val="000000"/>
                <w:kern w:val="0"/>
                <w:sz w:val="20"/>
                <w:szCs w:val="20"/>
              </w:rPr>
            </w:pPr>
            <w:bookmarkStart w:id="0" w:name="RANGE!A42"/>
            <w:bookmarkEnd w:id="0"/>
          </w:p>
        </w:tc>
        <w:tc>
          <w:tcPr>
            <w:tcW w:w="1563"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111454CC"/>
    <w:rsid w:val="11532E91"/>
    <w:rsid w:val="11BF695B"/>
    <w:rsid w:val="15D408DC"/>
    <w:rsid w:val="17FC50C6"/>
    <w:rsid w:val="23D42313"/>
    <w:rsid w:val="2B9E44AF"/>
    <w:rsid w:val="2EB20720"/>
    <w:rsid w:val="33B17B71"/>
    <w:rsid w:val="40F878D4"/>
    <w:rsid w:val="41C16A06"/>
    <w:rsid w:val="42330824"/>
    <w:rsid w:val="44EA674E"/>
    <w:rsid w:val="48324E1C"/>
    <w:rsid w:val="4850479F"/>
    <w:rsid w:val="4C814CB3"/>
    <w:rsid w:val="4E3253B2"/>
    <w:rsid w:val="653D6431"/>
    <w:rsid w:val="69E7646F"/>
    <w:rsid w:val="6D5C26AD"/>
    <w:rsid w:val="740B2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387</Words>
  <Characters>2210</Characters>
  <Lines>18</Lines>
  <Paragraphs>5</Paragraphs>
  <TotalTime>5</TotalTime>
  <ScaleCrop>false</ScaleCrop>
  <LinksUpToDate>false</LinksUpToDate>
  <CharactersWithSpaces>2592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Administrator</cp:lastModifiedBy>
  <dcterms:modified xsi:type="dcterms:W3CDTF">2021-07-14T05:51:30Z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EC7FA1BD237B4C32BA204CA897EAA7FC</vt:lpwstr>
  </property>
</Properties>
</file>