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446" w:firstLineChars="400"/>
        <w:jc w:val="left"/>
        <w:rPr>
          <w:rFonts w:ascii="宋体" w:hAnsi="宋体" w:cs="宋体"/>
          <w:b/>
          <w:bCs/>
          <w:color w:val="000000" w:themeColor="text1"/>
          <w:kern w:val="0"/>
          <w:sz w:val="36"/>
          <w:szCs w:val="36"/>
        </w:rPr>
      </w:pPr>
      <w:r>
        <w:rPr>
          <w:rFonts w:hint="eastAsia" w:ascii="宋体" w:hAnsi="宋体"/>
          <w:b/>
          <w:bCs/>
          <w:color w:val="000000" w:themeColor="text1"/>
          <w:sz w:val="36"/>
          <w:szCs w:val="36"/>
        </w:rPr>
        <w:t>鑫广绿环宿舍楼改造工程家具招标书</w:t>
      </w:r>
    </w:p>
    <w:p>
      <w:pPr>
        <w:widowControl/>
        <w:shd w:val="clear" w:color="auto" w:fill="FFFFFF"/>
        <w:spacing w:before="156" w:line="228" w:lineRule="atLeast"/>
        <w:jc w:val="left"/>
        <w:rPr>
          <w:rFonts w:ascii="宋体" w:hAnsi="宋体" w:cs="Arial"/>
          <w:sz w:val="24"/>
          <w:szCs w:val="24"/>
        </w:rPr>
      </w:pPr>
      <w:r>
        <w:rPr>
          <w:rFonts w:hint="eastAsia" w:ascii="宋体" w:hAnsi="宋体" w:cs="宋体"/>
          <w:b/>
          <w:color w:val="000000"/>
          <w:kern w:val="0"/>
          <w:sz w:val="24"/>
          <w:szCs w:val="24"/>
        </w:rPr>
        <w:t>一、投标邀请</w:t>
      </w:r>
    </w:p>
    <w:p>
      <w:pPr>
        <w:spacing w:line="360" w:lineRule="auto"/>
        <w:ind w:firstLine="360" w:firstLineChars="150"/>
        <w:rPr>
          <w:rFonts w:ascii="宋体" w:hAnsi="宋体" w:eastAsia="宋体" w:cs="Times New Roman"/>
          <w:sz w:val="24"/>
          <w:szCs w:val="24"/>
        </w:rPr>
      </w:pPr>
      <w:r>
        <w:rPr>
          <w:rFonts w:hint="eastAsia" w:ascii="宋体" w:hAnsi="宋体" w:eastAsia="宋体" w:cs="Times New Roman"/>
          <w:sz w:val="24"/>
          <w:szCs w:val="24"/>
        </w:rPr>
        <w:t>鑫广绿环再生资源股份有限公司</w:t>
      </w:r>
      <w:r>
        <w:rPr>
          <w:rFonts w:hint="eastAsia" w:ascii="宋体" w:hAnsi="宋体"/>
          <w:color w:val="000000" w:themeColor="text1"/>
          <w:sz w:val="24"/>
          <w:szCs w:val="24"/>
        </w:rPr>
        <w:t>宿舍楼改造工程家具</w:t>
      </w:r>
      <w:r>
        <w:rPr>
          <w:rFonts w:hint="eastAsia" w:ascii="宋体" w:hAnsi="宋体" w:eastAsia="宋体" w:cs="Times New Roman"/>
          <w:sz w:val="24"/>
          <w:szCs w:val="24"/>
        </w:rPr>
        <w:t>项目</w:t>
      </w:r>
      <w:r>
        <w:rPr>
          <w:rFonts w:hint="eastAsia" w:ascii="宋体" w:hAnsi="宋体" w:cs="Arial"/>
          <w:sz w:val="24"/>
          <w:szCs w:val="24"/>
        </w:rPr>
        <w:t>，特邀请贵公司参加投标。</w:t>
      </w:r>
    </w:p>
    <w:p>
      <w:pPr>
        <w:widowControl/>
        <w:shd w:val="clear" w:color="auto" w:fill="FFFFFF"/>
        <w:spacing w:before="156" w:line="228" w:lineRule="atLeast"/>
        <w:rPr>
          <w:rFonts w:ascii="宋体" w:hAnsi="宋体" w:cs="宋体"/>
          <w:b/>
          <w:color w:val="000000"/>
          <w:kern w:val="0"/>
          <w:sz w:val="24"/>
          <w:szCs w:val="24"/>
        </w:rPr>
      </w:pPr>
      <w:r>
        <w:rPr>
          <w:rFonts w:hint="eastAsia" w:ascii="宋体" w:hAnsi="宋体" w:cs="宋体"/>
          <w:b/>
          <w:color w:val="000000"/>
          <w:kern w:val="0"/>
          <w:sz w:val="24"/>
          <w:szCs w:val="24"/>
        </w:rPr>
        <w:t>1、项目简介：</w:t>
      </w:r>
    </w:p>
    <w:p>
      <w:pPr>
        <w:spacing w:line="360" w:lineRule="auto"/>
        <w:ind w:firstLine="360" w:firstLineChars="150"/>
        <w:rPr>
          <w:rFonts w:ascii="宋体" w:hAnsi="宋体" w:eastAsia="宋体" w:cs="Times New Roman"/>
          <w:sz w:val="24"/>
          <w:szCs w:val="24"/>
        </w:rPr>
      </w:pPr>
      <w:r>
        <w:rPr>
          <w:rFonts w:hint="eastAsia" w:ascii="宋体" w:hAnsi="宋体" w:cs="宋体"/>
          <w:color w:val="000000"/>
          <w:kern w:val="0"/>
          <w:sz w:val="24"/>
          <w:szCs w:val="24"/>
        </w:rPr>
        <w:t>1.1</w:t>
      </w:r>
      <w:r>
        <w:rPr>
          <w:rFonts w:hint="eastAsia" w:ascii="宋体" w:hAnsi="宋体" w:cs="Arial"/>
          <w:sz w:val="24"/>
          <w:szCs w:val="24"/>
        </w:rPr>
        <w:t>项目内容：</w:t>
      </w:r>
      <w:r>
        <w:rPr>
          <w:rFonts w:hint="eastAsia" w:ascii="宋体" w:hAnsi="宋体"/>
          <w:color w:val="000000" w:themeColor="text1"/>
          <w:sz w:val="24"/>
          <w:szCs w:val="24"/>
        </w:rPr>
        <w:t>宿舍楼改造工程家具</w:t>
      </w:r>
      <w:r>
        <w:rPr>
          <w:rFonts w:hint="eastAsia" w:ascii="宋体" w:hAnsi="宋体" w:eastAsia="宋体" w:cs="Times New Roman"/>
          <w:sz w:val="24"/>
          <w:szCs w:val="24"/>
        </w:rPr>
        <w:t>项目</w:t>
      </w:r>
    </w:p>
    <w:p>
      <w:pPr>
        <w:spacing w:line="360" w:lineRule="auto"/>
        <w:ind w:firstLine="360" w:firstLineChars="150"/>
        <w:rPr>
          <w:rFonts w:ascii="宋体" w:hAnsi="宋体" w:cs="宋体"/>
          <w:color w:val="000000"/>
          <w:kern w:val="0"/>
          <w:sz w:val="24"/>
          <w:szCs w:val="24"/>
        </w:rPr>
      </w:pPr>
      <w:r>
        <w:rPr>
          <w:rFonts w:hint="eastAsia" w:ascii="宋体" w:hAnsi="宋体" w:cs="宋体"/>
          <w:color w:val="000000"/>
          <w:kern w:val="0"/>
          <w:sz w:val="24"/>
          <w:szCs w:val="24"/>
        </w:rPr>
        <w:t>1.2项目地址：鑫广绿环再生资源股份有限公司厂区内</w:t>
      </w:r>
    </w:p>
    <w:p>
      <w:pPr>
        <w:spacing w:line="360" w:lineRule="auto"/>
        <w:ind w:firstLine="360" w:firstLineChars="150"/>
        <w:rPr>
          <w:rFonts w:ascii="宋体" w:hAnsi="宋体" w:cs="宋体"/>
          <w:color w:val="000000"/>
          <w:kern w:val="0"/>
          <w:sz w:val="24"/>
          <w:szCs w:val="24"/>
        </w:rPr>
      </w:pPr>
      <w:r>
        <w:rPr>
          <w:rFonts w:hint="eastAsia" w:ascii="宋体" w:hAnsi="宋体" w:cs="宋体"/>
          <w:color w:val="000000"/>
          <w:kern w:val="0"/>
          <w:sz w:val="24"/>
          <w:szCs w:val="24"/>
        </w:rPr>
        <w:t>1.3项目明细：（详见开标一览表）</w:t>
      </w:r>
    </w:p>
    <w:p>
      <w:pPr>
        <w:widowControl/>
        <w:shd w:val="clear" w:color="auto" w:fill="FFFFFF"/>
        <w:spacing w:before="156" w:line="228" w:lineRule="atLeast"/>
        <w:rPr>
          <w:rFonts w:ascii="宋体" w:hAnsi="宋体" w:cs="宋体"/>
          <w:b/>
          <w:color w:val="000000"/>
          <w:kern w:val="0"/>
          <w:sz w:val="24"/>
          <w:szCs w:val="24"/>
        </w:rPr>
      </w:pPr>
      <w:r>
        <w:rPr>
          <w:rFonts w:hint="eastAsia" w:ascii="宋体" w:hAnsi="宋体" w:cs="宋体"/>
          <w:b/>
          <w:color w:val="000000"/>
          <w:kern w:val="0"/>
          <w:sz w:val="24"/>
          <w:szCs w:val="24"/>
        </w:rPr>
        <w:t>2、投标人资质要求：</w:t>
      </w:r>
    </w:p>
    <w:p>
      <w:pPr>
        <w:widowControl/>
        <w:shd w:val="clear" w:color="auto" w:fill="FFFFFF"/>
        <w:spacing w:before="156" w:line="228" w:lineRule="atLeast"/>
        <w:ind w:firstLine="360" w:firstLineChars="150"/>
        <w:rPr>
          <w:rFonts w:ascii="宋体" w:hAnsi="宋体" w:cs="宋体"/>
          <w:color w:val="000000"/>
          <w:kern w:val="0"/>
          <w:sz w:val="24"/>
          <w:szCs w:val="24"/>
        </w:rPr>
      </w:pPr>
      <w:r>
        <w:rPr>
          <w:rFonts w:hint="eastAsia" w:ascii="宋体" w:hAnsi="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rPr>
          <w:rFonts w:cs="宋体"/>
          <w:color w:val="000000"/>
          <w:kern w:val="0"/>
          <w:szCs w:val="21"/>
        </w:rPr>
      </w:pPr>
      <w:r>
        <w:rPr>
          <w:rFonts w:hint="eastAsia" w:ascii="宋体" w:hAnsi="宋体" w:cs="宋体"/>
          <w:b/>
          <w:bCs/>
          <w:color w:val="000000"/>
          <w:kern w:val="0"/>
          <w:sz w:val="24"/>
          <w:szCs w:val="24"/>
        </w:rPr>
        <w:t>3、发标与投标信息：</w:t>
      </w:r>
    </w:p>
    <w:p>
      <w:pPr>
        <w:adjustRightInd w:val="0"/>
        <w:snapToGrid w:val="0"/>
        <w:spacing w:beforeLines="50" w:line="288" w:lineRule="auto"/>
        <w:ind w:firstLine="360" w:firstLineChars="15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2021</w:t>
      </w:r>
      <w:r>
        <w:rPr>
          <w:rFonts w:hint="eastAsia" w:ascii="宋体" w:hAnsi="宋体" w:cs="Arial"/>
          <w:sz w:val="24"/>
          <w:szCs w:val="24"/>
        </w:rPr>
        <w:t>年07月14日（周三）。</w:t>
      </w:r>
    </w:p>
    <w:p>
      <w:pPr>
        <w:adjustRightInd w:val="0"/>
        <w:snapToGrid w:val="0"/>
        <w:spacing w:beforeLines="50" w:line="288" w:lineRule="auto"/>
        <w:ind w:firstLine="360" w:firstLineChars="15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firstLine="360" w:firstLineChars="150"/>
        <w:rPr>
          <w:rFonts w:ascii="宋体" w:cs="Arial"/>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sz w:val="24"/>
          <w:szCs w:val="24"/>
        </w:rPr>
        <w:t>2021</w:t>
      </w:r>
      <w:r>
        <w:rPr>
          <w:rFonts w:hint="eastAsia" w:ascii="宋体" w:hAnsi="宋体" w:cs="Arial"/>
          <w:sz w:val="24"/>
          <w:szCs w:val="24"/>
        </w:rPr>
        <w:t>年07月23日12：00</w:t>
      </w:r>
    </w:p>
    <w:p>
      <w:pPr>
        <w:adjustRightInd w:val="0"/>
        <w:snapToGrid w:val="0"/>
        <w:spacing w:beforeLines="50" w:line="288" w:lineRule="auto"/>
        <w:ind w:firstLine="360" w:firstLineChars="150"/>
        <w:rPr>
          <w:rFonts w:ascii="宋体" w:cs="Arial"/>
          <w:sz w:val="24"/>
          <w:szCs w:val="24"/>
        </w:rPr>
      </w:pPr>
      <w:r>
        <w:rPr>
          <w:rFonts w:hint="eastAsia" w:ascii="宋体" w:hAnsi="宋体" w:cs="Arial"/>
          <w:sz w:val="24"/>
          <w:szCs w:val="24"/>
        </w:rPr>
        <w:t>3</w:t>
      </w:r>
      <w:r>
        <w:rPr>
          <w:rFonts w:ascii="宋体" w:hAnsi="宋体" w:cs="Arial"/>
          <w:sz w:val="24"/>
          <w:szCs w:val="24"/>
        </w:rPr>
        <w:t xml:space="preserve">.4 </w:t>
      </w:r>
      <w:r>
        <w:rPr>
          <w:rFonts w:hint="eastAsia" w:ascii="宋体" w:hAnsi="宋体" w:cs="Arial"/>
          <w:sz w:val="24"/>
          <w:szCs w:val="24"/>
        </w:rPr>
        <w:t>返标地点：返标地点：烟台市</w:t>
      </w:r>
      <w:r>
        <w:rPr>
          <w:rFonts w:ascii="宋体" w:hAnsi="宋体" w:cs="Arial"/>
          <w:sz w:val="24"/>
          <w:szCs w:val="24"/>
        </w:rPr>
        <w:t xml:space="preserve"> </w:t>
      </w:r>
      <w:r>
        <w:rPr>
          <w:rFonts w:hint="eastAsia" w:ascii="宋体" w:hAnsi="宋体" w:cs="Arial"/>
          <w:sz w:val="24"/>
          <w:szCs w:val="24"/>
        </w:rPr>
        <w:t>开发区</w:t>
      </w:r>
      <w:r>
        <w:rPr>
          <w:rFonts w:ascii="宋体" w:hAnsi="宋体" w:cs="Arial"/>
          <w:sz w:val="24"/>
          <w:szCs w:val="24"/>
        </w:rPr>
        <w:t xml:space="preserve"> </w:t>
      </w:r>
      <w:r>
        <w:rPr>
          <w:rFonts w:hint="eastAsia" w:ascii="宋体" w:hAnsi="宋体" w:cs="Arial"/>
          <w:sz w:val="24"/>
          <w:szCs w:val="24"/>
        </w:rPr>
        <w:t>开封路</w:t>
      </w:r>
      <w:r>
        <w:rPr>
          <w:rFonts w:ascii="宋体" w:hAnsi="宋体" w:cs="Arial"/>
          <w:sz w:val="24"/>
          <w:szCs w:val="24"/>
        </w:rPr>
        <w:t>8</w:t>
      </w:r>
      <w:r>
        <w:rPr>
          <w:rFonts w:hint="eastAsia" w:ascii="宋体" w:hAnsi="宋体" w:cs="Arial"/>
          <w:sz w:val="24"/>
          <w:szCs w:val="24"/>
        </w:rPr>
        <w:t>号，鑫广绿环再生资源股份有限公司 审计部 李佳欣收（0535-6977130）邮箱：baojia@lvhuanchina.com</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3</w:t>
      </w:r>
      <w:r>
        <w:rPr>
          <w:rFonts w:ascii="宋体" w:hAnsi="宋体" w:cs="Arial"/>
          <w:sz w:val="24"/>
          <w:szCs w:val="24"/>
        </w:rPr>
        <w:t xml:space="preserve">.5 </w:t>
      </w:r>
      <w:r>
        <w:rPr>
          <w:rFonts w:hint="eastAsia" w:ascii="宋体" w:hAnsi="宋体" w:cs="Arial"/>
          <w:sz w:val="24"/>
          <w:szCs w:val="24"/>
        </w:rPr>
        <w:t>招标联系人：丛树义（17362132666）。</w:t>
      </w:r>
    </w:p>
    <w:p>
      <w:pPr>
        <w:adjustRightInd w:val="0"/>
        <w:snapToGrid w:val="0"/>
        <w:spacing w:beforeLines="50" w:line="288" w:lineRule="auto"/>
        <w:ind w:firstLine="360" w:firstLineChars="150"/>
        <w:rPr>
          <w:rFonts w:ascii="宋体" w:cs="Arial"/>
          <w:sz w:val="24"/>
          <w:szCs w:val="24"/>
        </w:rPr>
      </w:pPr>
      <w:r>
        <w:rPr>
          <w:rFonts w:hint="eastAsia" w:ascii="宋体" w:hAnsi="宋体" w:cs="Arial"/>
          <w:sz w:val="24"/>
          <w:szCs w:val="24"/>
        </w:rPr>
        <w:t>3</w:t>
      </w:r>
      <w:r>
        <w:rPr>
          <w:rFonts w:ascii="宋体" w:hAnsi="宋体" w:cs="Arial"/>
          <w:sz w:val="24"/>
          <w:szCs w:val="24"/>
        </w:rPr>
        <w:t>.</w:t>
      </w:r>
      <w:r>
        <w:rPr>
          <w:rFonts w:hint="eastAsia" w:ascii="宋体" w:hAnsi="宋体" w:cs="Arial"/>
          <w:sz w:val="24"/>
          <w:szCs w:val="24"/>
        </w:rPr>
        <w:t>6开标时间：</w:t>
      </w:r>
      <w:r>
        <w:rPr>
          <w:rFonts w:ascii="宋体" w:hAnsi="宋体" w:cs="Arial"/>
          <w:sz w:val="24"/>
          <w:szCs w:val="24"/>
        </w:rPr>
        <w:t>2021</w:t>
      </w:r>
      <w:r>
        <w:rPr>
          <w:rFonts w:hint="eastAsia" w:ascii="宋体" w:hAnsi="宋体" w:cs="Arial"/>
          <w:sz w:val="24"/>
          <w:szCs w:val="24"/>
        </w:rPr>
        <w:t>年07月23日14：00</w:t>
      </w:r>
    </w:p>
    <w:p>
      <w:pPr>
        <w:adjustRightInd w:val="0"/>
        <w:snapToGrid w:val="0"/>
        <w:spacing w:beforeLines="50" w:line="288" w:lineRule="auto"/>
        <w:ind w:firstLine="360" w:firstLineChars="15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；内部开标。</w:t>
      </w:r>
    </w:p>
    <w:p>
      <w:pPr>
        <w:widowControl/>
        <w:shd w:val="clear" w:color="auto" w:fill="FFFFFF"/>
        <w:spacing w:before="156" w:line="228" w:lineRule="atLeast"/>
        <w:jc w:val="left"/>
        <w:rPr>
          <w:rFonts w:cs="宋体"/>
          <w:color w:val="000000"/>
          <w:kern w:val="0"/>
          <w:szCs w:val="21"/>
        </w:rPr>
      </w:pPr>
      <w:r>
        <w:rPr>
          <w:rFonts w:hint="eastAsia" w:ascii="宋体" w:hAnsi="宋体" w:cs="宋体"/>
          <w:b/>
          <w:bCs/>
          <w:color w:val="000000"/>
          <w:kern w:val="0"/>
          <w:sz w:val="32"/>
          <w:szCs w:val="32"/>
        </w:rPr>
        <w:t>二、投标须知</w:t>
      </w:r>
    </w:p>
    <w:p>
      <w:pPr>
        <w:widowControl/>
        <w:shd w:val="clear" w:color="auto" w:fill="FFFFFF"/>
        <w:spacing w:before="156" w:line="228" w:lineRule="atLeast"/>
        <w:rPr>
          <w:rFonts w:cs="宋体"/>
          <w:color w:val="000000"/>
          <w:kern w:val="0"/>
          <w:szCs w:val="21"/>
        </w:rPr>
      </w:pPr>
      <w:r>
        <w:rPr>
          <w:rFonts w:hint="eastAsia" w:ascii="宋体" w:hAnsi="宋体" w:cs="宋体"/>
          <w:b/>
          <w:bCs/>
          <w:color w:val="000000"/>
          <w:kern w:val="0"/>
          <w:sz w:val="24"/>
          <w:szCs w:val="24"/>
        </w:rPr>
        <w:t>1、适用范围：</w:t>
      </w:r>
    </w:p>
    <w:p>
      <w:pPr>
        <w:spacing w:line="360" w:lineRule="auto"/>
        <w:ind w:firstLine="360" w:firstLineChars="150"/>
        <w:rPr>
          <w:rFonts w:ascii="宋体" w:hAnsi="宋体" w:eastAsia="宋体"/>
          <w:bCs/>
          <w:color w:val="000000"/>
          <w:sz w:val="24"/>
          <w:szCs w:val="24"/>
        </w:rPr>
      </w:pPr>
      <w:r>
        <w:rPr>
          <w:rFonts w:hint="eastAsia" w:ascii="宋体" w:hAnsi="宋体" w:eastAsia="宋体" w:cs="Times New Roman"/>
          <w:sz w:val="24"/>
          <w:szCs w:val="24"/>
        </w:rPr>
        <w:t>鑫广绿环再生资源股份有限公司</w:t>
      </w:r>
      <w:r>
        <w:rPr>
          <w:rFonts w:hint="eastAsia" w:ascii="宋体" w:hAnsi="宋体"/>
          <w:color w:val="000000" w:themeColor="text1"/>
          <w:sz w:val="24"/>
          <w:szCs w:val="24"/>
        </w:rPr>
        <w:t>宿舍楼改造工程家具</w:t>
      </w:r>
      <w:r>
        <w:rPr>
          <w:rFonts w:hint="eastAsia" w:ascii="宋体" w:hAnsi="宋体" w:eastAsia="宋体" w:cs="Times New Roman"/>
          <w:sz w:val="24"/>
          <w:szCs w:val="24"/>
        </w:rPr>
        <w:t>项目。</w:t>
      </w:r>
    </w:p>
    <w:p>
      <w:pPr>
        <w:widowControl/>
        <w:shd w:val="clear" w:color="auto" w:fill="FFFFFF"/>
        <w:spacing w:before="156" w:line="228" w:lineRule="atLeast"/>
        <w:rPr>
          <w:rFonts w:cs="宋体"/>
          <w:color w:val="000000"/>
          <w:kern w:val="0"/>
          <w:szCs w:val="21"/>
        </w:rPr>
      </w:pPr>
      <w:r>
        <w:rPr>
          <w:rFonts w:hint="eastAsia" w:ascii="宋体" w:hAnsi="宋体" w:cs="宋体"/>
          <w:b/>
          <w:bCs/>
          <w:color w:val="000000"/>
          <w:kern w:val="0"/>
          <w:sz w:val="24"/>
          <w:szCs w:val="24"/>
        </w:rPr>
        <w:t>2、名称定义：</w:t>
      </w:r>
    </w:p>
    <w:p>
      <w:pPr>
        <w:widowControl/>
        <w:shd w:val="clear" w:color="auto" w:fill="FFFFFF"/>
        <w:spacing w:before="156" w:line="228" w:lineRule="atLeast"/>
        <w:ind w:left="210" w:firstLine="120" w:firstLineChars="50"/>
        <w:rPr>
          <w:rFonts w:cs="宋体"/>
          <w:color w:val="000000"/>
          <w:kern w:val="0"/>
          <w:szCs w:val="21"/>
        </w:rPr>
      </w:pPr>
      <w:r>
        <w:rPr>
          <w:rFonts w:hint="eastAsia" w:ascii="宋体" w:hAnsi="宋体" w:cs="宋体"/>
          <w:color w:val="000000"/>
          <w:kern w:val="0"/>
          <w:sz w:val="24"/>
          <w:szCs w:val="24"/>
        </w:rPr>
        <w:t>2.1招标人：指鑫广绿环再生资源股份有限公司。</w:t>
      </w:r>
    </w:p>
    <w:p>
      <w:pPr>
        <w:widowControl/>
        <w:shd w:val="clear" w:color="auto" w:fill="FFFFFF"/>
        <w:spacing w:before="156" w:line="228" w:lineRule="atLeast"/>
        <w:ind w:left="210" w:firstLine="120" w:firstLineChars="50"/>
        <w:rPr>
          <w:rFonts w:cs="宋体"/>
          <w:color w:val="000000"/>
          <w:kern w:val="0"/>
          <w:szCs w:val="21"/>
        </w:rPr>
      </w:pPr>
      <w:r>
        <w:rPr>
          <w:rFonts w:hint="eastAsia" w:ascii="宋体" w:hAnsi="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firstLine="120" w:firstLineChars="50"/>
        <w:rPr>
          <w:rFonts w:ascii="Arial" w:hAnsi="Arial" w:cs="Arial"/>
          <w:color w:val="000000"/>
          <w:kern w:val="0"/>
          <w:sz w:val="20"/>
          <w:szCs w:val="20"/>
        </w:rPr>
      </w:pPr>
      <w:r>
        <w:rPr>
          <w:rFonts w:hint="eastAsia" w:ascii="宋体" w:hAnsi="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cs="宋体"/>
          <w:color w:val="000000"/>
          <w:kern w:val="0"/>
          <w:szCs w:val="21"/>
        </w:rPr>
      </w:pPr>
      <w:r>
        <w:rPr>
          <w:rFonts w:hint="eastAsia" w:ascii="宋体" w:hAnsi="宋体" w:cs="宋体"/>
          <w:b/>
          <w:bCs/>
          <w:color w:val="000000"/>
          <w:kern w:val="0"/>
          <w:sz w:val="24"/>
          <w:szCs w:val="24"/>
        </w:rPr>
        <w:t>3、 投标文件及组成：</w:t>
      </w:r>
    </w:p>
    <w:p>
      <w:pPr>
        <w:widowControl/>
        <w:shd w:val="clear" w:color="auto" w:fill="FFFFFF"/>
        <w:spacing w:before="156" w:line="228" w:lineRule="atLeast"/>
        <w:ind w:left="105" w:leftChars="50" w:firstLine="240" w:firstLineChars="100"/>
        <w:rPr>
          <w:rFonts w:cs="宋体"/>
          <w:color w:val="000000"/>
          <w:kern w:val="0"/>
          <w:szCs w:val="21"/>
        </w:rPr>
      </w:pPr>
      <w:r>
        <w:rPr>
          <w:rFonts w:hint="eastAsia" w:ascii="宋体" w:hAnsi="宋体" w:cs="宋体"/>
          <w:color w:val="000000"/>
          <w:kern w:val="0"/>
          <w:sz w:val="24"/>
          <w:szCs w:val="24"/>
        </w:rPr>
        <w:t>3.1投标人本企业有关证明复印件，如：营业执照、资质证书、安全证书、工程业绩、现场施工人员相关资质证件、其它信誉证书等。</w:t>
      </w:r>
    </w:p>
    <w:p>
      <w:pPr>
        <w:widowControl/>
        <w:shd w:val="clear" w:color="auto" w:fill="FFFFFF"/>
        <w:spacing w:before="156" w:line="228" w:lineRule="atLeast"/>
        <w:ind w:left="105" w:leftChars="50" w:firstLine="240" w:firstLineChars="100"/>
        <w:rPr>
          <w:rFonts w:ascii="宋体" w:hAnsi="宋体" w:cs="宋体"/>
          <w:color w:val="000000"/>
          <w:kern w:val="0"/>
          <w:sz w:val="24"/>
          <w:szCs w:val="24"/>
        </w:rPr>
      </w:pPr>
      <w:r>
        <w:rPr>
          <w:rFonts w:hint="eastAsia" w:ascii="宋体" w:hAnsi="宋体" w:cs="宋体"/>
          <w:color w:val="000000"/>
          <w:kern w:val="0"/>
          <w:sz w:val="24"/>
          <w:szCs w:val="24"/>
        </w:rPr>
        <w:t>3.2项目要求和开标一览表。</w:t>
      </w:r>
    </w:p>
    <w:p>
      <w:pPr>
        <w:adjustRightInd w:val="0"/>
        <w:snapToGrid w:val="0"/>
        <w:spacing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4、交货工期：</w:t>
      </w:r>
    </w:p>
    <w:p>
      <w:pPr>
        <w:adjustRightInd w:val="0"/>
        <w:snapToGrid w:val="0"/>
        <w:spacing w:beforeLines="50" w:line="288" w:lineRule="auto"/>
        <w:ind w:firstLine="360" w:firstLineChars="150"/>
        <w:rPr>
          <w:rFonts w:ascii="宋体" w:hAnsi="宋体" w:cs="Arial"/>
          <w:color w:val="000000"/>
          <w:sz w:val="24"/>
          <w:szCs w:val="24"/>
        </w:rPr>
      </w:pPr>
      <w:r>
        <w:rPr>
          <w:rFonts w:hint="eastAsia" w:ascii="宋体" w:hAnsi="宋体" w:cs="Arial"/>
          <w:color w:val="000000"/>
          <w:sz w:val="24"/>
          <w:szCs w:val="24"/>
        </w:rPr>
        <w:t>4.1 本项目制作周期为签订合同次日起50天内完成改造。</w:t>
      </w:r>
    </w:p>
    <w:p>
      <w:pPr>
        <w:adjustRightInd w:val="0"/>
        <w:snapToGrid w:val="0"/>
        <w:spacing w:beforeLines="50" w:line="288" w:lineRule="auto"/>
        <w:ind w:firstLine="360" w:firstLineChars="150"/>
        <w:rPr>
          <w:rFonts w:ascii="宋体" w:cs="Arial"/>
          <w:color w:val="FF0000"/>
          <w:sz w:val="24"/>
          <w:szCs w:val="24"/>
          <w:u w:val="single"/>
        </w:rPr>
      </w:pPr>
      <w:r>
        <w:rPr>
          <w:rFonts w:hint="eastAsia" w:ascii="宋体" w:hAnsi="宋体" w:cs="Arial"/>
          <w:color w:val="000000"/>
          <w:sz w:val="24"/>
          <w:szCs w:val="24"/>
        </w:rPr>
        <w:t>4.2中标人须在与业主签订制作合同后迅速安排制作，做好该项目中标人厂内自制部分的材料及外购部件的采购工作，以保证该项目保质保量按时完成，逾期造成招标人的相应损失需由中标人承担。</w:t>
      </w:r>
    </w:p>
    <w:p>
      <w:pPr>
        <w:widowControl/>
        <w:shd w:val="clear" w:color="auto" w:fill="FFFFFF"/>
        <w:spacing w:before="156" w:line="228" w:lineRule="atLeast"/>
        <w:rPr>
          <w:rFonts w:cs="宋体"/>
          <w:color w:val="000000"/>
          <w:kern w:val="0"/>
          <w:szCs w:val="21"/>
        </w:rPr>
      </w:pPr>
      <w:r>
        <w:rPr>
          <w:rFonts w:hint="eastAsia" w:ascii="宋体" w:hAnsi="宋体" w:cs="宋体"/>
          <w:b/>
          <w:bCs/>
          <w:color w:val="000000"/>
          <w:kern w:val="0"/>
          <w:sz w:val="24"/>
          <w:szCs w:val="24"/>
        </w:rPr>
        <w:t>5、投标文件：</w:t>
      </w:r>
    </w:p>
    <w:p>
      <w:pPr>
        <w:widowControl/>
        <w:shd w:val="clear" w:color="auto" w:fill="FFFFFF"/>
        <w:spacing w:before="156" w:line="228" w:lineRule="atLeast"/>
        <w:ind w:firstLine="360" w:firstLineChars="150"/>
        <w:rPr>
          <w:rFonts w:cs="宋体"/>
          <w:color w:val="000000"/>
          <w:kern w:val="0"/>
          <w:szCs w:val="21"/>
        </w:rPr>
      </w:pPr>
      <w:r>
        <w:rPr>
          <w:rFonts w:hint="eastAsia" w:ascii="宋体" w:hAnsi="宋体" w:cs="宋体"/>
          <w:color w:val="000000"/>
          <w:kern w:val="0"/>
          <w:sz w:val="24"/>
          <w:szCs w:val="24"/>
        </w:rPr>
        <w:t>5.1投标文件一式</w:t>
      </w:r>
      <w:r>
        <w:rPr>
          <w:rFonts w:ascii="宋体" w:hAnsi="宋体" w:cs="宋体"/>
          <w:color w:val="000000"/>
          <w:kern w:val="0"/>
          <w:sz w:val="24"/>
          <w:szCs w:val="24"/>
        </w:rPr>
        <w:t>2</w:t>
      </w:r>
      <w:r>
        <w:rPr>
          <w:rFonts w:hint="eastAsia" w:ascii="宋体" w:hAnsi="宋体" w:cs="宋体"/>
          <w:color w:val="000000"/>
          <w:kern w:val="0"/>
          <w:sz w:val="24"/>
          <w:szCs w:val="24"/>
        </w:rPr>
        <w:t>份。</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5.4投标书及报价表须加盖单位公章和法人章，招标人将只接收此招标书中所称实体的投标资料。</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5.5投标文件的任何修改和擦除须由投标人签字并记录改动日期。</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5.7招标人可以更改要求或拒绝所有投标。</w:t>
      </w:r>
    </w:p>
    <w:p>
      <w:pPr>
        <w:widowControl/>
        <w:shd w:val="clear" w:color="auto" w:fill="FFFFFF"/>
        <w:spacing w:before="156" w:line="228" w:lineRule="atLeast"/>
        <w:ind w:left="149"/>
        <w:rPr>
          <w:rFonts w:cs="宋体"/>
          <w:color w:val="000000"/>
          <w:kern w:val="0"/>
          <w:szCs w:val="21"/>
        </w:rPr>
      </w:pPr>
      <w:r>
        <w:rPr>
          <w:rFonts w:hint="eastAsia" w:ascii="宋体" w:hAnsi="宋体" w:cs="宋体"/>
          <w:b/>
          <w:bCs/>
          <w:color w:val="000000"/>
          <w:kern w:val="0"/>
          <w:sz w:val="24"/>
          <w:szCs w:val="24"/>
        </w:rPr>
        <w:t>6、报价要求：</w:t>
      </w:r>
    </w:p>
    <w:p>
      <w:pPr>
        <w:widowControl/>
        <w:shd w:val="clear" w:color="auto" w:fill="FFFFFF"/>
        <w:spacing w:before="156" w:line="228" w:lineRule="atLeast"/>
        <w:ind w:left="359" w:firstLine="120" w:firstLineChars="50"/>
        <w:rPr>
          <w:rFonts w:cs="宋体"/>
          <w:color w:val="000000"/>
          <w:kern w:val="0"/>
          <w:szCs w:val="21"/>
        </w:rPr>
      </w:pPr>
      <w:r>
        <w:rPr>
          <w:rFonts w:hint="eastAsia" w:ascii="宋体" w:hAnsi="宋体" w:cs="宋体"/>
          <w:color w:val="000000"/>
          <w:kern w:val="0"/>
          <w:sz w:val="24"/>
          <w:szCs w:val="24"/>
        </w:rPr>
        <w:t>6.1投标人报价应包括本招标文件所确定的招标范围和内容，且都应满足国家及地方的法律法规、规范标准和招标人要求。</w:t>
      </w:r>
    </w:p>
    <w:p>
      <w:pPr>
        <w:widowControl/>
        <w:shd w:val="clear" w:color="auto" w:fill="FFFFFF"/>
        <w:spacing w:before="156" w:line="228" w:lineRule="atLeast"/>
        <w:ind w:firstLine="480" w:firstLineChars="200"/>
        <w:rPr>
          <w:rFonts w:cs="宋体"/>
          <w:color w:val="000000"/>
          <w:kern w:val="0"/>
          <w:szCs w:val="21"/>
        </w:rPr>
      </w:pPr>
      <w:r>
        <w:rPr>
          <w:rFonts w:hint="eastAsia" w:ascii="宋体" w:hAnsi="宋体" w:cs="宋体"/>
          <w:color w:val="000000"/>
          <w:kern w:val="0"/>
          <w:sz w:val="24"/>
          <w:szCs w:val="24"/>
        </w:rPr>
        <w:t>6.2投标人应根据招标人所需的规格以及执行合同条款所必须发生的费用，对项目进行报价。</w:t>
      </w:r>
    </w:p>
    <w:p>
      <w:pPr>
        <w:widowControl/>
        <w:shd w:val="clear" w:color="auto" w:fill="FFFFFF"/>
        <w:spacing w:before="156" w:line="228" w:lineRule="atLeast"/>
        <w:ind w:firstLine="480" w:firstLineChars="200"/>
        <w:rPr>
          <w:rFonts w:cs="宋体"/>
          <w:color w:val="000000"/>
          <w:kern w:val="0"/>
          <w:szCs w:val="21"/>
        </w:rPr>
      </w:pPr>
      <w:r>
        <w:rPr>
          <w:rFonts w:hint="eastAsia" w:ascii="宋体" w:hAnsi="宋体" w:cs="宋体"/>
          <w:color w:val="000000"/>
          <w:kern w:val="0"/>
          <w:sz w:val="24"/>
          <w:szCs w:val="24"/>
        </w:rPr>
        <w:t>6.3投标人应对报价的完整性承担全面责任，投标人须充分考虑报价中包括材料费、运杂费、装卸费、安装、调试、利润、税金（包括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firstLineChars="50"/>
        <w:rPr>
          <w:rFonts w:cs="宋体"/>
          <w:color w:val="000000"/>
          <w:kern w:val="0"/>
          <w:szCs w:val="21"/>
        </w:rPr>
      </w:pPr>
      <w:r>
        <w:rPr>
          <w:rFonts w:hint="eastAsia" w:ascii="宋体" w:hAnsi="宋体" w:cs="宋体"/>
          <w:color w:val="000000"/>
          <w:kern w:val="0"/>
          <w:sz w:val="24"/>
          <w:szCs w:val="24"/>
        </w:rPr>
        <w:t>6.4投标报价以人民币为单位，并且书写有文字和数字，如果二者数值上不符，以价低内容为准。</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7、实施要求</w:t>
      </w:r>
    </w:p>
    <w:p>
      <w:pPr>
        <w:widowControl/>
        <w:shd w:val="clear" w:color="auto" w:fill="FFFFFF"/>
        <w:spacing w:before="50" w:line="228" w:lineRule="atLeas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7</w:t>
      </w:r>
      <w:r>
        <w:rPr>
          <w:rFonts w:ascii="宋体" w:hAnsi="宋体" w:cs="宋体"/>
          <w:color w:val="000000"/>
          <w:kern w:val="0"/>
          <w:sz w:val="24"/>
          <w:szCs w:val="24"/>
        </w:rPr>
        <w:t>.1</w:t>
      </w:r>
      <w:r>
        <w:rPr>
          <w:rFonts w:hint="eastAsia" w:ascii="宋体" w:hAnsi="宋体" w:cs="宋体"/>
          <w:color w:val="000000"/>
          <w:kern w:val="0"/>
          <w:sz w:val="24"/>
          <w:szCs w:val="24"/>
        </w:rPr>
        <w:t>中标人依据要求交货并完成验收，周期自合同签订后50天内完成。</w:t>
      </w:r>
    </w:p>
    <w:p>
      <w:pPr>
        <w:widowControl/>
        <w:shd w:val="clear" w:color="auto" w:fill="FFFFFF"/>
        <w:spacing w:before="50" w:line="228" w:lineRule="atLeas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7</w:t>
      </w:r>
      <w:r>
        <w:rPr>
          <w:rFonts w:ascii="宋体" w:hAnsi="宋体" w:cs="宋体"/>
          <w:color w:val="000000"/>
          <w:kern w:val="0"/>
          <w:sz w:val="24"/>
          <w:szCs w:val="24"/>
        </w:rPr>
        <w:t>.2</w:t>
      </w:r>
      <w:r>
        <w:rPr>
          <w:rFonts w:hint="eastAsia" w:ascii="宋体" w:hAnsi="宋体" w:cs="宋体"/>
          <w:color w:val="000000"/>
          <w:kern w:val="0"/>
          <w:sz w:val="24"/>
          <w:szCs w:val="24"/>
        </w:rPr>
        <w:t>中标</w:t>
      </w:r>
      <w:r>
        <w:rPr>
          <w:rFonts w:hint="eastAsia" w:ascii="宋体" w:hAnsi="宋体"/>
          <w:sz w:val="24"/>
          <w:szCs w:val="24"/>
        </w:rPr>
        <w:t>人采购的每一项材料设备，必须具有出厂证、质量合格证明，材料设备经发包人验收合格后方可用于施工。否则，发包人有权拒绝竣工验收或拒付该阶段的工程款。因此造成工程逾期的，</w:t>
      </w:r>
      <w:r>
        <w:rPr>
          <w:rFonts w:hint="eastAsia" w:ascii="宋体" w:hAnsi="宋体" w:cs="宋体"/>
          <w:color w:val="000000"/>
          <w:kern w:val="0"/>
          <w:sz w:val="24"/>
          <w:szCs w:val="24"/>
        </w:rPr>
        <w:t>中标</w:t>
      </w:r>
      <w:r>
        <w:rPr>
          <w:rFonts w:hint="eastAsia" w:ascii="宋体" w:hAnsi="宋体"/>
          <w:sz w:val="24"/>
          <w:szCs w:val="24"/>
        </w:rPr>
        <w:t>人承担逾期违约责任。</w:t>
      </w:r>
    </w:p>
    <w:p>
      <w:pPr>
        <w:widowControl/>
        <w:shd w:val="clear" w:color="auto" w:fill="FFFFFF"/>
        <w:spacing w:before="50" w:line="228" w:lineRule="atLeas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7</w:t>
      </w:r>
      <w:r>
        <w:rPr>
          <w:rFonts w:ascii="宋体" w:hAnsi="宋体" w:cs="宋体"/>
          <w:color w:val="000000"/>
          <w:kern w:val="0"/>
          <w:sz w:val="24"/>
          <w:szCs w:val="24"/>
        </w:rPr>
        <w:t>.</w:t>
      </w:r>
      <w:r>
        <w:rPr>
          <w:rFonts w:hint="eastAsia" w:ascii="宋体" w:hAnsi="宋体" w:cs="宋体"/>
          <w:color w:val="000000"/>
          <w:kern w:val="0"/>
          <w:sz w:val="24"/>
          <w:szCs w:val="24"/>
        </w:rPr>
        <w:t>3实施期间技术人员需现场调试，不可做远程操作 （不予开通访问外网）</w:t>
      </w:r>
    </w:p>
    <w:p>
      <w:pPr>
        <w:spacing w:line="360" w:lineRule="auto"/>
        <w:ind w:firstLine="480" w:firstLineChars="200"/>
        <w:rPr>
          <w:rFonts w:ascii="宋体" w:hAnsi="宋体" w:cs="宋体"/>
          <w:color w:val="000000"/>
          <w:kern w:val="0"/>
          <w:sz w:val="40"/>
          <w:szCs w:val="40"/>
        </w:rPr>
      </w:pPr>
      <w:r>
        <w:rPr>
          <w:rFonts w:hint="eastAsia" w:ascii="宋体" w:hAnsi="宋体" w:cs="宋体"/>
          <w:color w:val="000000"/>
          <w:kern w:val="0"/>
          <w:sz w:val="24"/>
          <w:szCs w:val="24"/>
        </w:rPr>
        <w:t>7</w:t>
      </w:r>
      <w:r>
        <w:rPr>
          <w:rFonts w:ascii="宋体" w:hAnsi="宋体" w:cs="宋体"/>
          <w:color w:val="000000"/>
          <w:kern w:val="0"/>
          <w:sz w:val="24"/>
          <w:szCs w:val="24"/>
        </w:rPr>
        <w:t>.</w:t>
      </w:r>
      <w:r>
        <w:rPr>
          <w:rFonts w:hint="eastAsia" w:ascii="宋体" w:hAnsi="宋体" w:cs="宋体"/>
          <w:color w:val="000000"/>
          <w:kern w:val="0"/>
          <w:sz w:val="24"/>
          <w:szCs w:val="24"/>
        </w:rPr>
        <w:t>4实施目标：</w:t>
      </w:r>
      <w:r>
        <w:rPr>
          <w:rFonts w:hint="eastAsia" w:ascii="宋体" w:hAnsi="宋体"/>
          <w:color w:val="000000" w:themeColor="text1"/>
          <w:sz w:val="24"/>
          <w:szCs w:val="24"/>
        </w:rPr>
        <w:t>宿舍楼改造工程家具</w:t>
      </w:r>
      <w:r>
        <w:rPr>
          <w:rFonts w:hint="eastAsia" w:ascii="宋体" w:hAnsi="宋体" w:eastAsia="宋体" w:cs="Times New Roman"/>
          <w:sz w:val="24"/>
          <w:szCs w:val="24"/>
        </w:rPr>
        <w:t>项目</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8、验收要求</w:t>
      </w:r>
    </w:p>
    <w:p>
      <w:pPr>
        <w:widowControl/>
        <w:shd w:val="clear" w:color="auto" w:fill="FFFFFF"/>
        <w:spacing w:before="50" w:line="228" w:lineRule="atLeast"/>
        <w:ind w:firstLine="480" w:firstLineChars="200"/>
        <w:rPr>
          <w:rFonts w:ascii="宋体" w:hAnsi="宋体"/>
          <w:sz w:val="24"/>
          <w:szCs w:val="24"/>
        </w:rPr>
      </w:pPr>
      <w:r>
        <w:rPr>
          <w:rFonts w:hint="eastAsia" w:ascii="宋体" w:hAnsi="宋体"/>
          <w:sz w:val="24"/>
          <w:szCs w:val="24"/>
        </w:rPr>
        <w:t>施工完毕投入运行</w:t>
      </w:r>
      <w:r>
        <w:rPr>
          <w:rFonts w:ascii="宋体" w:hAnsi="宋体"/>
          <w:sz w:val="24"/>
          <w:szCs w:val="24"/>
          <w:shd w:val="clear" w:color="auto" w:fill="F7F7F7"/>
        </w:rPr>
        <w:t>20</w:t>
      </w:r>
      <w:r>
        <w:rPr>
          <w:rFonts w:hint="eastAsia" w:ascii="宋体" w:hAnsi="宋体"/>
          <w:sz w:val="24"/>
          <w:szCs w:val="24"/>
          <w:shd w:val="clear" w:color="auto" w:fill="F7F7F7"/>
        </w:rPr>
        <w:t>天，</w:t>
      </w:r>
      <w:r>
        <w:rPr>
          <w:rFonts w:hint="eastAsia" w:ascii="宋体" w:hAnsi="宋体"/>
          <w:sz w:val="24"/>
          <w:szCs w:val="24"/>
        </w:rPr>
        <w:t>发包人自检无问题后，组织有关部门进行验收。</w:t>
      </w:r>
    </w:p>
    <w:p>
      <w:pPr>
        <w:widowControl/>
        <w:shd w:val="clear" w:color="auto" w:fill="FFFFFF"/>
        <w:spacing w:before="50" w:line="228" w:lineRule="atLeast"/>
        <w:rPr>
          <w:rFonts w:ascii="宋体" w:hAnsi="宋体" w:cs="宋体"/>
          <w:color w:val="000000"/>
          <w:kern w:val="0"/>
          <w:sz w:val="24"/>
          <w:szCs w:val="24"/>
        </w:rPr>
      </w:pPr>
      <w:r>
        <w:rPr>
          <w:rFonts w:hint="eastAsia" w:ascii="宋体" w:hAnsi="宋体" w:cs="宋体"/>
          <w:b/>
          <w:bCs/>
          <w:color w:val="000000"/>
          <w:kern w:val="0"/>
          <w:sz w:val="24"/>
          <w:szCs w:val="24"/>
        </w:rPr>
        <w:t>9、付款方式</w:t>
      </w:r>
      <w:r>
        <w:rPr>
          <w:rFonts w:hint="eastAsia" w:ascii="宋体" w:hAnsi="宋体" w:cs="宋体"/>
          <w:color w:val="000000"/>
          <w:kern w:val="0"/>
          <w:sz w:val="24"/>
          <w:szCs w:val="24"/>
        </w:rPr>
        <w:t>：</w:t>
      </w:r>
    </w:p>
    <w:p>
      <w:pPr>
        <w:widowControl/>
        <w:shd w:val="clear" w:color="auto" w:fill="FFFFFF"/>
        <w:spacing w:before="50" w:line="228" w:lineRule="atLeas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签订合同后支付4</w:t>
      </w:r>
      <w:r>
        <w:rPr>
          <w:rFonts w:ascii="宋体" w:hAnsi="宋体" w:cs="宋体"/>
          <w:color w:val="000000"/>
          <w:kern w:val="0"/>
          <w:sz w:val="24"/>
          <w:szCs w:val="24"/>
        </w:rPr>
        <w:t>0</w:t>
      </w:r>
      <w:r>
        <w:rPr>
          <w:rFonts w:hint="eastAsia" w:ascii="宋体" w:hAnsi="宋体" w:cs="宋体"/>
          <w:color w:val="000000"/>
          <w:kern w:val="0"/>
          <w:sz w:val="24"/>
          <w:szCs w:val="24"/>
        </w:rPr>
        <w:t>%，验收后支付5</w:t>
      </w:r>
      <w:r>
        <w:rPr>
          <w:rFonts w:ascii="宋体" w:hAnsi="宋体" w:cs="宋体"/>
          <w:color w:val="000000"/>
          <w:kern w:val="0"/>
          <w:sz w:val="24"/>
          <w:szCs w:val="24"/>
        </w:rPr>
        <w:t>5</w:t>
      </w:r>
      <w:r>
        <w:rPr>
          <w:rFonts w:hint="eastAsia" w:ascii="宋体" w:hAnsi="宋体" w:cs="宋体"/>
          <w:color w:val="000000"/>
          <w:kern w:val="0"/>
          <w:sz w:val="24"/>
          <w:szCs w:val="24"/>
        </w:rPr>
        <w:t>%剩余5</w:t>
      </w:r>
      <w:r>
        <w:rPr>
          <w:rFonts w:ascii="宋体" w:hAnsi="宋体" w:cs="宋体"/>
          <w:color w:val="000000"/>
          <w:kern w:val="0"/>
          <w:sz w:val="24"/>
          <w:szCs w:val="24"/>
        </w:rPr>
        <w:t>%</w:t>
      </w:r>
      <w:r>
        <w:rPr>
          <w:rFonts w:hint="eastAsia" w:ascii="宋体" w:hAnsi="宋体" w:cs="宋体"/>
          <w:color w:val="000000"/>
          <w:kern w:val="0"/>
          <w:sz w:val="24"/>
          <w:szCs w:val="24"/>
        </w:rPr>
        <w:t xml:space="preserve">质保金满一年后支付，其中50%的款项已银行电子承兑方式支付。 </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10、合同签订</w:t>
      </w:r>
    </w:p>
    <w:p>
      <w:pPr>
        <w:widowControl/>
        <w:shd w:val="clear" w:color="auto" w:fill="FFFFFF"/>
        <w:spacing w:before="50" w:line="228" w:lineRule="atLeast"/>
        <w:ind w:firstLine="360" w:firstLineChars="150"/>
        <w:rPr>
          <w:rFonts w:cs="宋体"/>
          <w:color w:val="000000"/>
          <w:kern w:val="0"/>
          <w:szCs w:val="21"/>
        </w:rPr>
      </w:pPr>
      <w:r>
        <w:rPr>
          <w:rFonts w:hint="eastAsia" w:ascii="宋体" w:hAnsi="宋体" w:cs="宋体"/>
          <w:color w:val="000000"/>
          <w:kern w:val="0"/>
          <w:sz w:val="24"/>
          <w:szCs w:val="24"/>
        </w:rPr>
        <w:t>10.1中标单位应在接到邀请人通知（电话、邮件、书面等任一形式）后的5天内与招标人签订书面合同。</w:t>
      </w:r>
    </w:p>
    <w:p>
      <w:pPr>
        <w:widowControl/>
        <w:shd w:val="clear" w:color="auto" w:fill="FFFFFF"/>
        <w:spacing w:before="50" w:line="228" w:lineRule="atLeast"/>
        <w:ind w:firstLine="360" w:firstLineChars="150"/>
        <w:rPr>
          <w:rFonts w:cs="宋体"/>
          <w:color w:val="000000"/>
          <w:kern w:val="0"/>
          <w:szCs w:val="21"/>
        </w:rPr>
      </w:pPr>
      <w:r>
        <w:rPr>
          <w:rFonts w:hint="eastAsia" w:ascii="宋体" w:hAnsi="宋体" w:cs="宋体"/>
          <w:color w:val="000000"/>
          <w:kern w:val="0"/>
          <w:sz w:val="24"/>
          <w:szCs w:val="24"/>
        </w:rPr>
        <w:t>10.2合同的主要条款原则上包含本招标文件的条件及相关要求，但合同的非主要条款5天内达不成一致的，作废标处理。主要条款的解释按照《民法典》和招标文件内容的解释为准。</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pStyle w:val="2"/>
        <w:ind w:firstLine="560"/>
        <w:rPr>
          <w:rFonts w:cs="宋体"/>
          <w:color w:val="000000"/>
          <w:kern w:val="0"/>
          <w:szCs w:val="21"/>
        </w:rPr>
      </w:pPr>
    </w:p>
    <w:p>
      <w:pPr>
        <w:pStyle w:val="2"/>
        <w:ind w:firstLine="560"/>
        <w:rPr>
          <w:rFonts w:cs="宋体"/>
          <w:color w:val="000000"/>
          <w:kern w:val="0"/>
          <w:szCs w:val="21"/>
        </w:rPr>
      </w:pPr>
    </w:p>
    <w:p>
      <w:pPr>
        <w:pStyle w:val="2"/>
        <w:ind w:firstLine="560"/>
        <w:rPr>
          <w:rFonts w:cs="宋体"/>
          <w:color w:val="000000"/>
          <w:kern w:val="0"/>
          <w:szCs w:val="21"/>
        </w:rPr>
      </w:pPr>
    </w:p>
    <w:p>
      <w:pPr>
        <w:pStyle w:val="2"/>
        <w:ind w:firstLine="560"/>
        <w:rPr>
          <w:rFonts w:cs="宋体"/>
          <w:color w:val="000000"/>
          <w:kern w:val="0"/>
          <w:szCs w:val="21"/>
        </w:rPr>
      </w:pPr>
    </w:p>
    <w:p>
      <w:pPr>
        <w:pStyle w:val="11"/>
        <w:textAlignment w:val="center"/>
        <w:outlineLvl w:val="0"/>
        <w:rPr>
          <w:rFonts w:ascii="方正小标宋简体" w:hAnsi="宋体" w:eastAsia="方正小标宋简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800" w:right="1440" w:bottom="1800" w:left="1440" w:header="851" w:footer="992" w:gutter="0"/>
          <w:cols w:space="425" w:num="1"/>
          <w:docGrid w:type="lines" w:linePitch="312" w:charSpace="0"/>
        </w:sectPr>
      </w:pPr>
      <w:bookmarkStart w:id="0" w:name="_Toc49345168"/>
    </w:p>
    <w:p>
      <w:pPr>
        <w:pStyle w:val="11"/>
        <w:textAlignment w:val="center"/>
        <w:outlineLvl w:val="0"/>
        <w:rPr>
          <w:rFonts w:ascii="方正小标宋简体" w:hAnsi="宋体" w:eastAsia="方正小标宋简体"/>
          <w:b/>
          <w:sz w:val="36"/>
          <w:szCs w:val="36"/>
        </w:rPr>
      </w:pPr>
      <w:r>
        <w:rPr>
          <w:rFonts w:hint="eastAsia" w:ascii="方正小标宋简体" w:hAnsi="宋体" w:eastAsia="方正小标宋简体"/>
          <w:b/>
          <w:sz w:val="36"/>
          <w:szCs w:val="36"/>
        </w:rPr>
        <w:t>第二部分  招标内容及技术</w:t>
      </w:r>
      <w:r>
        <w:rPr>
          <w:rFonts w:ascii="方正小标宋简体" w:hAnsi="宋体" w:eastAsia="方正小标宋简体"/>
          <w:b/>
          <w:sz w:val="36"/>
          <w:szCs w:val="36"/>
        </w:rPr>
        <w:t>要求</w:t>
      </w:r>
      <w:bookmarkEnd w:id="0"/>
    </w:p>
    <w:p>
      <w:pPr>
        <w:tabs>
          <w:tab w:val="left" w:pos="312"/>
          <w:tab w:val="left" w:pos="753"/>
        </w:tabs>
        <w:spacing w:line="480" w:lineRule="exact"/>
        <w:textAlignment w:val="center"/>
        <w:outlineLvl w:val="1"/>
        <w:rPr>
          <w:rFonts w:ascii="宋体" w:hAnsi="宋体"/>
          <w:b/>
          <w:bCs/>
          <w:sz w:val="24"/>
        </w:rPr>
      </w:pPr>
      <w:bookmarkStart w:id="1" w:name="_Toc49345169"/>
      <w:bookmarkStart w:id="2" w:name="_Toc10449383"/>
      <w:r>
        <w:rPr>
          <w:rFonts w:hint="eastAsia" w:ascii="宋体" w:hAnsi="宋体"/>
          <w:b/>
          <w:bCs/>
          <w:sz w:val="24"/>
        </w:rPr>
        <w:t>1.招标项目说明：</w:t>
      </w:r>
      <w:bookmarkEnd w:id="1"/>
      <w:bookmarkEnd w:id="2"/>
    </w:p>
    <w:p>
      <w:pPr>
        <w:spacing w:line="480" w:lineRule="exact"/>
        <w:ind w:firstLine="420"/>
        <w:rPr>
          <w:sz w:val="24"/>
        </w:rPr>
      </w:pPr>
      <w:r>
        <w:rPr>
          <w:rFonts w:hint="eastAsia"/>
          <w:sz w:val="24"/>
        </w:rPr>
        <w:t>本项目是</w:t>
      </w:r>
      <w:r>
        <w:rPr>
          <w:rFonts w:hint="eastAsia" w:ascii="宋体" w:hAnsi="宋体"/>
          <w:sz w:val="24"/>
          <w:highlight w:val="yellow"/>
        </w:rPr>
        <w:t>鑫广绿环宿舍楼改造工程家具采购</w:t>
      </w:r>
      <w:r>
        <w:rPr>
          <w:rFonts w:hint="eastAsia"/>
          <w:sz w:val="24"/>
        </w:rPr>
        <w:t>。本项目划分为</w:t>
      </w:r>
      <w:r>
        <w:rPr>
          <w:sz w:val="24"/>
        </w:rPr>
        <w:t>1</w:t>
      </w:r>
      <w:r>
        <w:rPr>
          <w:rFonts w:hint="eastAsia"/>
          <w:sz w:val="24"/>
        </w:rPr>
        <w:t>个标包。投标人须对采购内容全部响应，报价若有遗漏，视为对本项目让利，应免费提供。</w:t>
      </w:r>
    </w:p>
    <w:p>
      <w:pPr>
        <w:tabs>
          <w:tab w:val="left" w:pos="312"/>
          <w:tab w:val="left" w:pos="753"/>
        </w:tabs>
        <w:spacing w:line="480" w:lineRule="exact"/>
        <w:textAlignment w:val="center"/>
        <w:outlineLvl w:val="1"/>
        <w:rPr>
          <w:rFonts w:ascii="宋体" w:hAnsi="宋体" w:eastAsia="宋体"/>
          <w:b/>
          <w:bCs/>
          <w:sz w:val="15"/>
          <w:szCs w:val="15"/>
        </w:rPr>
      </w:pPr>
      <w:bookmarkStart w:id="3" w:name="_Toc49345170"/>
      <w:bookmarkStart w:id="4" w:name="_Toc10449384"/>
      <w:r>
        <w:rPr>
          <w:rFonts w:hint="eastAsia" w:ascii="宋体" w:hAnsi="宋体"/>
          <w:b/>
          <w:bCs/>
          <w:sz w:val="24"/>
          <w:szCs w:val="24"/>
        </w:rPr>
        <w:t>2</w:t>
      </w:r>
      <w:r>
        <w:rPr>
          <w:rFonts w:ascii="宋体" w:hAnsi="宋体"/>
          <w:b/>
          <w:bCs/>
          <w:sz w:val="24"/>
          <w:szCs w:val="24"/>
        </w:rPr>
        <w:t>.</w:t>
      </w:r>
      <w:r>
        <w:rPr>
          <w:rFonts w:hint="eastAsia" w:ascii="宋体" w:hAnsi="宋体"/>
          <w:b/>
          <w:bCs/>
          <w:sz w:val="24"/>
          <w:szCs w:val="24"/>
        </w:rPr>
        <w:t>招标内容及技术要求</w:t>
      </w:r>
      <w:r>
        <w:rPr>
          <w:rFonts w:hint="eastAsia" w:ascii="宋体" w:hAnsi="宋体"/>
          <w:b/>
          <w:bCs/>
          <w:sz w:val="15"/>
          <w:szCs w:val="15"/>
        </w:rPr>
        <w:t>：</w:t>
      </w:r>
      <w:bookmarkEnd w:id="3"/>
      <w:bookmarkEnd w:id="4"/>
    </w:p>
    <w:tbl>
      <w:tblPr>
        <w:tblStyle w:val="18"/>
        <w:tblW w:w="14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910"/>
        <w:gridCol w:w="995"/>
        <w:gridCol w:w="2215"/>
        <w:gridCol w:w="1132"/>
        <w:gridCol w:w="709"/>
        <w:gridCol w:w="7796"/>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序号</w:t>
            </w:r>
          </w:p>
        </w:tc>
        <w:tc>
          <w:tcPr>
            <w:tcW w:w="910" w:type="dxa"/>
            <w:shd w:val="clear" w:color="auto" w:fill="auto"/>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楼层</w:t>
            </w:r>
          </w:p>
        </w:tc>
        <w:tc>
          <w:tcPr>
            <w:tcW w:w="995" w:type="dxa"/>
            <w:shd w:val="clear" w:color="auto" w:fill="auto"/>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名称</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图片</w:t>
            </w:r>
          </w:p>
        </w:tc>
        <w:tc>
          <w:tcPr>
            <w:tcW w:w="1132" w:type="dxa"/>
            <w:shd w:val="clear" w:color="auto" w:fill="auto"/>
            <w:noWrap/>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规格W*D*H（mm）</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材质</w:t>
            </w:r>
          </w:p>
        </w:tc>
        <w:tc>
          <w:tcPr>
            <w:tcW w:w="7796" w:type="dxa"/>
            <w:shd w:val="clear" w:color="auto" w:fill="auto"/>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参数</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1</w:t>
            </w:r>
          </w:p>
        </w:tc>
        <w:tc>
          <w:tcPr>
            <w:tcW w:w="910" w:type="dxa"/>
            <w:shd w:val="clear" w:color="auto" w:fill="auto"/>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餐厅餐桌椅</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 w:val="15"/>
                <w:szCs w:val="15"/>
              </w:rPr>
            </w:pPr>
            <w:r>
              <w:rPr>
                <w:rFonts w:asciiTheme="majorEastAsia" w:hAnsiTheme="majorEastAsia" w:eastAsiaTheme="majorEastAsia"/>
                <w:sz w:val="15"/>
                <w:szCs w:val="15"/>
              </w:rPr>
              <w:drawing>
                <wp:inline distT="0" distB="0" distL="114300" distR="114300">
                  <wp:extent cx="1293495" cy="968375"/>
                  <wp:effectExtent l="0" t="0" r="1905" b="3175"/>
                  <wp:docPr id="168188" name="图片 1" descr="49deb2268da777a1e02e3ae71cc2b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8" name="图片 1" descr="49deb2268da777a1e02e3ae71cc2b33"/>
                          <pic:cNvPicPr>
                            <a:picLocks noChangeAspect="1"/>
                          </pic:cNvPicPr>
                        </pic:nvPicPr>
                        <pic:blipFill>
                          <a:blip r:embed="rId10" cstate="print"/>
                          <a:stretch>
                            <a:fillRect/>
                          </a:stretch>
                        </pic:blipFill>
                        <pic:spPr>
                          <a:xfrm>
                            <a:off x="0" y="0"/>
                            <a:ext cx="1293495" cy="968375"/>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桌1200*600*750</w:t>
            </w:r>
          </w:p>
        </w:tc>
        <w:tc>
          <w:tcPr>
            <w:tcW w:w="709" w:type="dxa"/>
            <w:shd w:val="clear" w:color="auto" w:fill="auto"/>
            <w:noWrap/>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钢制架+三聚氰胺免漆板</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1、基材：椅子采用E0多层板板材，表面贴防火板耐磨层，厚度≥0.5MM，桌面EO级颗粒板，板材品牌不低于大亚、福人、露水河，经防潮、防虫、防腐处理，抗弯力强，不易变形；采用CIS热熔技术，更好的和板材贴合，不起泡、翘皮。椅子采用实木多层板弯曲一次成型。 2.钢架壁厚≥2MM，表面电镀黑色漆，经久耐用。采用优质环保漆，品牌不低于华润、多乐士、嘉宝莉，符合GB 18581-2009《室内装饰装修材料 溶剂型木器涂料中有害物质限量》标准，挥发性有机化合物含量≤670g/L，苯含量≤0.3%，甲苯、二甲苯、乙苯含量总和≤30%，游离二异氰酸酯含量总和≤0.4%，卤代烃含量≤0.1%。</w:t>
            </w:r>
          </w:p>
        </w:tc>
        <w:tc>
          <w:tcPr>
            <w:tcW w:w="567" w:type="dxa"/>
            <w:shd w:val="clear" w:color="auto" w:fill="auto"/>
            <w:noWrap/>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7"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b/>
                <w:bCs/>
                <w:kern w:val="0"/>
                <w:sz w:val="15"/>
                <w:szCs w:val="15"/>
              </w:rPr>
            </w:pPr>
            <w:r>
              <w:rPr>
                <w:rFonts w:hint="eastAsia" w:cs="宋体" w:asciiTheme="majorEastAsia" w:hAnsiTheme="majorEastAsia" w:eastAsiaTheme="majorEastAsia"/>
                <w:b/>
                <w:bCs/>
                <w:kern w:val="0"/>
                <w:sz w:val="15"/>
                <w:szCs w:val="15"/>
              </w:rPr>
              <w:t>2</w:t>
            </w:r>
          </w:p>
        </w:tc>
        <w:tc>
          <w:tcPr>
            <w:tcW w:w="910"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一层</w:t>
            </w:r>
          </w:p>
        </w:tc>
        <w:tc>
          <w:tcPr>
            <w:tcW w:w="995" w:type="dxa"/>
            <w:shd w:val="clear" w:color="auto" w:fill="auto"/>
            <w:vAlign w:val="center"/>
          </w:tcPr>
          <w:p>
            <w:pPr>
              <w:widowControl/>
              <w:spacing w:line="0" w:lineRule="atLeast"/>
              <w:rPr>
                <w:rFonts w:cs="宋体" w:asciiTheme="majorEastAsia" w:hAnsiTheme="majorEastAsia" w:eastAsiaTheme="majorEastAsia"/>
                <w:b/>
                <w:bCs/>
                <w:color w:val="000000"/>
                <w:kern w:val="0"/>
                <w:sz w:val="15"/>
                <w:szCs w:val="15"/>
              </w:rPr>
            </w:pPr>
            <w:r>
              <w:rPr>
                <w:rFonts w:hint="eastAsia" w:cs="宋体" w:asciiTheme="majorEastAsia" w:hAnsiTheme="majorEastAsia" w:eastAsiaTheme="majorEastAsia"/>
                <w:b/>
                <w:bCs/>
                <w:color w:val="000000"/>
                <w:kern w:val="0"/>
                <w:sz w:val="15"/>
                <w:szCs w:val="15"/>
              </w:rPr>
              <w:t>小包间餐桌</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 w:val="15"/>
                <w:szCs w:val="15"/>
              </w:rPr>
            </w:pPr>
            <w:r>
              <w:rPr>
                <w:rFonts w:asciiTheme="majorEastAsia" w:hAnsiTheme="majorEastAsia" w:eastAsiaTheme="majorEastAsia"/>
                <w:sz w:val="15"/>
                <w:szCs w:val="15"/>
              </w:rPr>
              <w:drawing>
                <wp:inline distT="0" distB="0" distL="114300" distR="114300">
                  <wp:extent cx="1283335" cy="1051560"/>
                  <wp:effectExtent l="0" t="0" r="12065" b="15240"/>
                  <wp:docPr id="1681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3" name="图片 2"/>
                          <pic:cNvPicPr>
                            <a:picLocks noChangeAspect="1"/>
                          </pic:cNvPicPr>
                        </pic:nvPicPr>
                        <pic:blipFill>
                          <a:blip r:embed="rId11" cstate="print"/>
                          <a:stretch>
                            <a:fillRect/>
                          </a:stretch>
                        </pic:blipFill>
                        <pic:spPr>
                          <a:xfrm>
                            <a:off x="0" y="0"/>
                            <a:ext cx="1283335" cy="1051560"/>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直径1600*转盘直径1000*750</w:t>
            </w:r>
          </w:p>
        </w:tc>
        <w:tc>
          <w:tcPr>
            <w:tcW w:w="709" w:type="dxa"/>
            <w:shd w:val="clear" w:color="auto" w:fill="auto"/>
            <w:noWrap/>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实木多层板贴实木皮</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1、基材：采用E0级实木多层板贴进口白蜡木皮或胡桃木皮，基材品牌不低于大亚、福人、露水河，经防潮、防虫、防腐处理，抗弯力强，不易变形；2、封边用材：进口白蜡木或胡桃木皮。3、胶粘剂：采用环保胶粘剂，严密、平整，与整块板材严丝合缝，不允许脱胶、表面有胶渍；4、五金配件：采用优质五金配件，所有五金件作防锈、防腐处理。功能特点： 5、倒棱、圆角、圆线应均匀一致，榫及自装配拆装产品零件结合应牢固严密；            6.▲油漆面漆：采用优质环保漆，品牌不低于华润、多乐士、嘉宝莉，符合GB 18581-2009《室内装饰装修材料 溶剂型木器涂料中有害物质限量》标准，挥发性有机化合物含量≤670g/L，苯含量≤0.3%，甲苯、二甲苯、乙苯含量总和≤30%，游离二异氰酸酯含量总和≤0.4%，卤代烃含量≤0.1%。7.▲油漆底漆：采用优质环保漆，符合GB 18581-2009《室内装饰装修材料 溶剂型木器涂料中有害物质限量》标准，挥发性有机化合物含量≤670g/L，苯含量≤0.3%，甲苯、二甲苯、乙苯含量总和≤30%，游离二异氰酸酯含量总和≤0.4%，卤代烃含量≤0.1%。          4.▲胶水（白乳胶）：GB 18583-2008《室内装饰装修材料胶粘剂中有害物质限量》检测要求：游离甲醛≤0.05g/kg，苯≤0.01g/kg，甲苯+二甲苯≤0.04g/kg，总挥发性有机物≤110g/L。外观简洁美观，打磨精细，无毛刺，无明显结巴影响外观。</w:t>
            </w:r>
          </w:p>
        </w:tc>
        <w:tc>
          <w:tcPr>
            <w:tcW w:w="567" w:type="dxa"/>
            <w:shd w:val="clear" w:color="auto" w:fill="auto"/>
            <w:noWrap/>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 w:val="18"/>
                <w:szCs w:val="18"/>
              </w:rPr>
            </w:pPr>
            <w:r>
              <w:rPr>
                <w:rFonts w:hint="eastAsia" w:cs="宋体" w:asciiTheme="majorEastAsia" w:hAnsiTheme="majorEastAsia" w:eastAsiaTheme="majorEastAsia"/>
                <w:kern w:val="0"/>
                <w:sz w:val="18"/>
                <w:szCs w:val="18"/>
              </w:rPr>
              <w:t>3</w:t>
            </w:r>
          </w:p>
        </w:tc>
        <w:tc>
          <w:tcPr>
            <w:tcW w:w="910" w:type="dxa"/>
            <w:shd w:val="clear" w:color="auto" w:fill="auto"/>
            <w:vAlign w:val="center"/>
          </w:tcPr>
          <w:p>
            <w:pPr>
              <w:widowControl/>
              <w:spacing w:line="0" w:lineRule="atLeast"/>
              <w:rPr>
                <w:rFonts w:cs="宋体" w:asciiTheme="majorEastAsia" w:hAnsiTheme="majorEastAsia" w:eastAsiaTheme="majorEastAsia"/>
                <w:kern w:val="0"/>
                <w:sz w:val="18"/>
                <w:szCs w:val="18"/>
              </w:rPr>
            </w:pPr>
            <w:r>
              <w:rPr>
                <w:rFonts w:hint="eastAsia" w:cs="宋体" w:asciiTheme="majorEastAsia" w:hAnsiTheme="majorEastAsia" w:eastAsiaTheme="majorEastAsia"/>
                <w:kern w:val="0"/>
                <w:sz w:val="18"/>
                <w:szCs w:val="18"/>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rPr>
              <w:t>大包间餐桌</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 w:val="18"/>
                <w:szCs w:val="18"/>
              </w:rPr>
            </w:pPr>
            <w:r>
              <w:rPr>
                <w:rFonts w:asciiTheme="majorEastAsia" w:hAnsiTheme="majorEastAsia" w:eastAsiaTheme="majorEastAsia"/>
                <w:sz w:val="18"/>
                <w:szCs w:val="18"/>
              </w:rPr>
              <w:drawing>
                <wp:inline distT="0" distB="0" distL="114300" distR="114300">
                  <wp:extent cx="1304925" cy="1069340"/>
                  <wp:effectExtent l="0" t="0" r="9525" b="1651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2" cstate="print"/>
                          <a:stretch>
                            <a:fillRect/>
                          </a:stretch>
                        </pic:blipFill>
                        <pic:spPr>
                          <a:xfrm>
                            <a:off x="0" y="0"/>
                            <a:ext cx="1304925" cy="1069340"/>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rPr>
              <w:t>直径2200*转盘直径1400*750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 w:val="18"/>
                <w:szCs w:val="18"/>
              </w:rPr>
            </w:pPr>
            <w:r>
              <w:rPr>
                <w:rFonts w:hint="eastAsia" w:cs="宋体" w:asciiTheme="majorEastAsia" w:hAnsiTheme="majorEastAsia" w:eastAsiaTheme="majorEastAsia"/>
                <w:kern w:val="0"/>
                <w:sz w:val="18"/>
                <w:szCs w:val="18"/>
              </w:rPr>
              <w:t>实木多层板贴实木皮</w:t>
            </w:r>
          </w:p>
        </w:tc>
        <w:tc>
          <w:tcPr>
            <w:tcW w:w="7796" w:type="dxa"/>
            <w:shd w:val="clear" w:color="000000" w:fill="FFFFFF"/>
            <w:vAlign w:val="center"/>
          </w:tcPr>
          <w:p>
            <w:pPr>
              <w:widowControl/>
              <w:spacing w:line="0" w:lineRule="atLeast"/>
              <w:rPr>
                <w:rFonts w:cs="宋体" w:asciiTheme="majorEastAsia" w:hAnsiTheme="majorEastAsia" w:eastAsiaTheme="majorEastAsia"/>
                <w:kern w:val="0"/>
                <w:sz w:val="18"/>
                <w:szCs w:val="18"/>
              </w:rPr>
            </w:pPr>
            <w:r>
              <w:rPr>
                <w:rFonts w:hint="eastAsia" w:cs="宋体" w:asciiTheme="majorEastAsia" w:hAnsiTheme="majorEastAsia" w:eastAsiaTheme="majorEastAsia"/>
                <w:color w:val="000000"/>
                <w:kern w:val="0"/>
                <w:sz w:val="18"/>
                <w:szCs w:val="18"/>
              </w:rPr>
              <w:t>1、基材：采用E0级实木多层板贴进口白蜡木皮或胡桃木皮，基材品牌不低于大亚、福人、露水河，经防潮、防虫、防腐处理，抗弯力强，不易变形；2、封边用材：进口白蜡木或胡桃木皮。3、胶粘剂：采用环保胶粘剂，严密、平整，与整块板材严丝合缝，不允许脱胶、表面有胶渍；4、五金配件：采用优质五金配件，所有五金件作防锈、防腐处理。功能特点： 5、倒棱、圆角、圆线应均匀一致，榫及自装配拆装产品零件结合应牢固严密；            6.▲油漆面漆：采用优质环保漆，品牌不低于华润、多乐士、嘉宝莉，符合GB 18581-2009《室内装饰装修材料 溶剂型木器涂料中有害物质限量》标准，挥发性有机化合物含量≤670g/L，苯含量≤0.3%，甲苯、二甲苯、乙苯含量总和≤30%，游离二异氰酸酯含量总和≤0.4%，卤代烃含量≤0.1%。7.▲油漆底漆：采用优质环保漆，符合GB 18581-2009《室内装饰装修材料 溶剂型木器涂料中有害物质限量》标准，挥发性有机化合物含量≤670g/L，苯含量≤0.3%，甲苯、二甲苯、乙苯含量总和≤30%，游离二异氰酸酯含量总和≤0.4%，卤代烃含量≤0.1%。          4.▲胶水（白乳胶）：GB 18583-2008《室内装饰装修材料胶粘剂中有害物质限量》检测要求：游离甲醛≤0.05g/kg，苯≤0.01g/kg，甲苯+二甲苯≤0.04g/kg，总挥发性有机物≤110g/L。外观简洁美观，打磨精细，无毛刺，无明显结巴影响外观。</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 w:val="18"/>
                <w:szCs w:val="18"/>
              </w:rPr>
            </w:pPr>
            <w:r>
              <w:rPr>
                <w:rFonts w:hint="eastAsia" w:cs="宋体" w:asciiTheme="majorEastAsia" w:hAnsiTheme="majorEastAsia" w:eastAsiaTheme="majorEastAsia"/>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5"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 w:val="18"/>
                <w:szCs w:val="18"/>
              </w:rPr>
            </w:pPr>
            <w:r>
              <w:rPr>
                <w:rFonts w:hint="eastAsia" w:cs="宋体" w:asciiTheme="majorEastAsia" w:hAnsiTheme="majorEastAsia" w:eastAsiaTheme="majorEastAsia"/>
                <w:kern w:val="0"/>
                <w:sz w:val="18"/>
                <w:szCs w:val="18"/>
              </w:rPr>
              <w:t>4</w:t>
            </w:r>
          </w:p>
        </w:tc>
        <w:tc>
          <w:tcPr>
            <w:tcW w:w="910" w:type="dxa"/>
            <w:shd w:val="clear" w:color="auto" w:fill="auto"/>
            <w:vAlign w:val="center"/>
          </w:tcPr>
          <w:p>
            <w:pPr>
              <w:widowControl/>
              <w:spacing w:line="0" w:lineRule="atLeast"/>
              <w:rPr>
                <w:rFonts w:cs="宋体" w:asciiTheme="majorEastAsia" w:hAnsiTheme="majorEastAsia" w:eastAsiaTheme="majorEastAsia"/>
                <w:kern w:val="0"/>
                <w:sz w:val="18"/>
                <w:szCs w:val="18"/>
              </w:rPr>
            </w:pPr>
            <w:r>
              <w:rPr>
                <w:rFonts w:hint="eastAsia" w:cs="宋体" w:asciiTheme="majorEastAsia" w:hAnsiTheme="majorEastAsia" w:eastAsiaTheme="majorEastAsia"/>
                <w:kern w:val="0"/>
                <w:sz w:val="18"/>
                <w:szCs w:val="18"/>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rPr>
              <w:t>包间餐椅</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 w:val="18"/>
                <w:szCs w:val="18"/>
              </w:rPr>
            </w:pPr>
            <w:r>
              <w:rPr>
                <w:rFonts w:asciiTheme="majorEastAsia" w:hAnsiTheme="majorEastAsia" w:eastAsiaTheme="majorEastAsia"/>
                <w:sz w:val="18"/>
                <w:szCs w:val="18"/>
              </w:rPr>
              <w:drawing>
                <wp:inline distT="0" distB="0" distL="114300" distR="114300">
                  <wp:extent cx="1137920" cy="925195"/>
                  <wp:effectExtent l="0" t="0" r="5080" b="8255"/>
                  <wp:docPr id="1681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5" name="图片 4"/>
                          <pic:cNvPicPr>
                            <a:picLocks noChangeAspect="1"/>
                          </pic:cNvPicPr>
                        </pic:nvPicPr>
                        <pic:blipFill>
                          <a:blip r:embed="rId13" cstate="print"/>
                          <a:stretch>
                            <a:fillRect/>
                          </a:stretch>
                        </pic:blipFill>
                        <pic:spPr>
                          <a:xfrm>
                            <a:off x="0" y="0"/>
                            <a:ext cx="1137920" cy="925195"/>
                          </a:xfrm>
                          <a:prstGeom prst="rect">
                            <a:avLst/>
                          </a:prstGeom>
                          <a:noFill/>
                          <a:ln w="9525">
                            <a:noFill/>
                          </a:ln>
                        </pic:spPr>
                      </pic:pic>
                    </a:graphicData>
                  </a:graphic>
                </wp:inline>
              </w:drawing>
            </w:r>
          </w:p>
        </w:tc>
        <w:tc>
          <w:tcPr>
            <w:tcW w:w="1132" w:type="dxa"/>
            <w:shd w:val="clear" w:color="auto" w:fill="auto"/>
            <w:vAlign w:val="center"/>
          </w:tcPr>
          <w:p>
            <w:pPr>
              <w:widowControl/>
              <w:spacing w:line="0" w:lineRule="atLeast"/>
              <w:jc w:val="center"/>
              <w:rPr>
                <w:rFonts w:cs="宋体" w:asciiTheme="majorEastAsia" w:hAnsiTheme="majorEastAsia" w:eastAsiaTheme="majorEastAsia"/>
                <w:kern w:val="0"/>
                <w:sz w:val="18"/>
                <w:szCs w:val="18"/>
              </w:rPr>
            </w:pPr>
            <w:r>
              <w:rPr>
                <w:rFonts w:hint="eastAsia" w:cs="宋体" w:asciiTheme="majorEastAsia" w:hAnsiTheme="majorEastAsia" w:eastAsiaTheme="majorEastAsia"/>
                <w:kern w:val="0"/>
                <w:sz w:val="18"/>
                <w:szCs w:val="18"/>
              </w:rPr>
              <w:t>常规</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 w:val="18"/>
                <w:szCs w:val="18"/>
              </w:rPr>
            </w:pPr>
            <w:r>
              <w:rPr>
                <w:rFonts w:hint="eastAsia" w:cs="宋体" w:asciiTheme="majorEastAsia" w:hAnsiTheme="majorEastAsia" w:eastAsiaTheme="majorEastAsia"/>
                <w:kern w:val="0"/>
                <w:sz w:val="18"/>
                <w:szCs w:val="18"/>
              </w:rPr>
              <w:t>实木</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 w:val="18"/>
                <w:szCs w:val="18"/>
              </w:rPr>
            </w:pPr>
            <w:r>
              <w:rPr>
                <w:rFonts w:hint="eastAsia" w:cs="宋体" w:asciiTheme="majorEastAsia" w:hAnsiTheme="majorEastAsia" w:eastAsiaTheme="majorEastAsia"/>
                <w:color w:val="000000"/>
                <w:kern w:val="0"/>
                <w:sz w:val="18"/>
                <w:szCs w:val="18"/>
              </w:rPr>
              <w:t>1、基材：采用进口白蜡木或胡桃木。2、胶粘剂：采用环保胶粘剂，严密、平整，与整块板材严丝合缝，不允许脱胶、表面有胶渍；3、五金配件：采用优质五金配件，所有五金件作防锈、防腐处理。功能特点： 4、倒棱、圆角、圆线应均匀一致，榫及自装配拆装产品零件结合应牢固严密；            5.▲油漆面漆：采用优质环保漆，品牌不低于华润、多乐士、嘉宝莉，符合GB 18581-2009《室内装饰装修材料 溶剂型木器涂料中有害物质限量》标准，挥发性有机化合物含量≤670g/L，苯含量≤0.3%，甲苯、二甲苯、乙苯含量总和≤30%，游离二异氰酸酯含量总和≤0.4%，卤代烃含量≤0.1%。6.▲油漆底漆：采用优质环保漆，符合GB 18581-2009《室内装饰装修材料 溶剂型木器涂料中有害物质限量》标准，挥发性有机化合物含量≤670g/L，苯含量≤0.3%，甲苯、二甲苯、乙苯含量总和≤30%，游离二异氰酸酯含量总和≤0.4%，卤代烃含量≤0.1%。          4.▲胶水（白乳胶）：GB 18583-2008《室内装饰装修材料胶粘剂中有害物质限量》检测要求：游离甲醛≤0.05g/kg，苯≤0.01g/kg，甲苯+二甲苯≤0.04g/kg，总挥发性有机物≤110g/L。外观简洁美观，打磨精细，无毛刺，无明显结巴影响外观。</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 w:val="18"/>
                <w:szCs w:val="18"/>
              </w:rPr>
            </w:pPr>
            <w:r>
              <w:rPr>
                <w:rFonts w:hint="eastAsia" w:cs="宋体" w:asciiTheme="majorEastAsia" w:hAnsiTheme="majorEastAsia" w:eastAsiaTheme="majorEastAsia"/>
                <w:kern w:val="0"/>
                <w:sz w:val="18"/>
                <w:szCs w:val="18"/>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5</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大包间双人沙发</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1291590" cy="969010"/>
                  <wp:effectExtent l="0" t="0" r="3810" b="2540"/>
                  <wp:docPr id="1681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6" name="图片 6"/>
                          <pic:cNvPicPr>
                            <a:picLocks noChangeAspect="1"/>
                          </pic:cNvPicPr>
                        </pic:nvPicPr>
                        <pic:blipFill>
                          <a:blip r:embed="rId14" cstate="print"/>
                          <a:stretch>
                            <a:fillRect/>
                          </a:stretch>
                        </pic:blipFill>
                        <pic:spPr>
                          <a:xfrm>
                            <a:off x="0" y="0"/>
                            <a:ext cx="1291590" cy="969010"/>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1560*850*780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实木</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 w:val="18"/>
                <w:szCs w:val="18"/>
              </w:rPr>
              <w:t>1、基材：采用进口白蜡木或胡桃木。2、胶粘剂：采用环保胶粘剂，严密、平整，与整块板材严丝合缝，不允许脱胶、表面有胶渍；3、五金配件：采用优质五金配件，所有五金件作防锈、防腐处理。功能特点： 4、倒棱、圆角、圆线应均匀一致，榫及自装配拆装产品零件结合应牢固严密；            5.▲油漆面漆：采用优质环保漆，品牌不低于华润、多乐士、嘉宝莉，符合GB 18581-2009《室内装饰装修材料 溶剂型木器涂料中有害物质限量》标准，挥发性有机化合物含量≤670g/L，苯含量≤0.3%，甲苯、二甲苯、乙苯含量总和≤30%，游离二异氰酸酯含量总和≤0.4%，卤代烃含量≤0.1%。6.▲油漆底漆：采用优质环保漆，符合GB 18581-2009《室内装饰装修材料 溶剂型木器涂料中有害物质限量》标准，挥发性有机化合物含量≤670g/L，苯含量≤0.3%，甲苯、二甲苯、乙苯含量总和≤30%，游离二异氰酸酯含量总和≤0.4%，卤代烃含量≤0.1%。          4.▲胶水（白乳胶）：GB 18583-2008《室内装饰装修材料胶粘剂中有害物质限量》检测要求：游离甲醛≤0.05g/kg，苯≤0.01g/kg，甲苯+二甲苯≤0.04g/kg，总挥发性有机物≤110g/L。外观简洁美观，打磨精细，无毛刺，无明显结巴影响外观。</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6</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大包间方几</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1243965" cy="946150"/>
                  <wp:effectExtent l="0" t="0" r="13335" b="6350"/>
                  <wp:docPr id="16816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7" name="图片 8"/>
                          <pic:cNvPicPr>
                            <a:picLocks noChangeAspect="1"/>
                          </pic:cNvPicPr>
                        </pic:nvPicPr>
                        <pic:blipFill>
                          <a:blip r:embed="rId15" cstate="print"/>
                          <a:stretch>
                            <a:fillRect/>
                          </a:stretch>
                        </pic:blipFill>
                        <pic:spPr>
                          <a:xfrm>
                            <a:off x="0" y="0"/>
                            <a:ext cx="1243965" cy="946150"/>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700*700*450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实木</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1、基材：采用进口白蜡木或胡桃木。2、胶粘剂：采用环保胶粘剂，严密、平整，与整块板材严丝合缝，不允许脱胶、表面有胶渍；3、五金配件：采用优质五金配件，所有五金件作防锈、防腐处理。功能特点： 4、倒棱、圆角、圆线应均匀一致，榫及自装配拆装产品零件结合应牢固严密；            5.▲油漆面漆：采用优质环保漆，品牌不低于华润、多乐士、嘉宝莉，符合GB 18581-2009《室内装饰装修材料 溶剂型木器涂料中有害物质限量》标准，挥发性有机化合物含量≤670g/L，苯含量≤0.3%，甲苯、二甲苯、乙苯含量总和≤30%，游离二异氰酸酯含量总和≤0.4%，卤代烃含量≤0.1%。6.▲油漆底漆：采用优质环保漆，符合GB 18581-2009《室内装饰装修材料 溶剂型木器涂料中有害物质限量》标准，挥发性有机化合物含量≤670g/L，苯含量≤0.3%，甲苯、二甲苯、乙苯含量总和≤30%，游离二异氰酸酯含量总和≤0.4%，卤代烃含量≤0.1%。          4.▲胶水（白乳胶）：GB 18583-2008《室内装饰装修材料胶粘剂中有害物质限量》检测要求：游离甲醛≤0.05g/kg，苯≤0.01g/kg，甲苯+二甲苯≤0.04g/kg，总挥发性有机物≤110g/L。外观简洁美观，打磨精细，无毛刺，无明显结巴影响外观。</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7</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超市收银台</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1186180" cy="1217930"/>
                  <wp:effectExtent l="0" t="0" r="13970" b="1270"/>
                  <wp:docPr id="16817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1" name="图片 14"/>
                          <pic:cNvPicPr>
                            <a:picLocks noChangeAspect="1"/>
                          </pic:cNvPicPr>
                        </pic:nvPicPr>
                        <pic:blipFill>
                          <a:blip r:embed="rId16" cstate="print"/>
                          <a:stretch>
                            <a:fillRect/>
                          </a:stretch>
                        </pic:blipFill>
                        <pic:spPr>
                          <a:xfrm>
                            <a:off x="0" y="0"/>
                            <a:ext cx="1186180" cy="1217930"/>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1200*600*850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三聚氰胺免漆板</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基材：采用E0级三聚氰胺颗粒板，品牌不低于大亚、福人、露水河，经防潮、防虫、防腐处理，抗弯力强，不易变形；板材厚度采用≥18MM。封边用材：2mm厚PVC胶边，热熔胶；2、胶粘剂：采用环保胶粘剂，严密、平整，与整块板材严丝合缝，不允许脱胶、表面有胶渍；3、五金配件：采用优质五金配件，所有五金件作防锈、防腐处理。4、人造板制成的部件均应进行封边处理；5、采用热压工艺处理，薄木和其它材料覆面拼贴应严密、平整、不允许有脱胶、鼓泡、无裂纹、压痕和划伤；6、倒棱、圆角、圆线应均匀一致，榫及自装配拆装产品零件结合应牢固严密；</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8</w:t>
            </w:r>
          </w:p>
        </w:tc>
        <w:tc>
          <w:tcPr>
            <w:tcW w:w="910" w:type="dxa"/>
            <w:shd w:val="clear" w:color="auto" w:fill="auto"/>
            <w:vAlign w:val="center"/>
          </w:tcPr>
          <w:p>
            <w:pPr>
              <w:widowControl/>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szCs w:val="21"/>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超市收银台办公椅</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952500" cy="1129665"/>
                  <wp:effectExtent l="0" t="0" r="0" b="13335"/>
                  <wp:docPr id="16817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2" name="图片 15"/>
                          <pic:cNvPicPr>
                            <a:picLocks noChangeAspect="1"/>
                          </pic:cNvPicPr>
                        </pic:nvPicPr>
                        <pic:blipFill>
                          <a:blip r:embed="rId17" cstate="print"/>
                          <a:stretch>
                            <a:fillRect/>
                          </a:stretch>
                        </pic:blipFill>
                        <pic:spPr>
                          <a:xfrm>
                            <a:off x="0" y="0"/>
                            <a:ext cx="952500" cy="1129665"/>
                          </a:xfrm>
                          <a:prstGeom prst="rect">
                            <a:avLst/>
                          </a:prstGeom>
                          <a:noFill/>
                          <a:ln w="9525">
                            <a:noFill/>
                          </a:ln>
                        </pic:spPr>
                      </pic:pic>
                    </a:graphicData>
                  </a:graphic>
                </wp:inline>
              </w:drawing>
            </w:r>
          </w:p>
        </w:tc>
        <w:tc>
          <w:tcPr>
            <w:tcW w:w="1132"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常规</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1、椅子：PP 加纤维背架尼龙固定腰靠。2、电镀实心回形钢脚架。3、海绵厚度≥30mm，高弹力海绵。符合 GB/T10802-2006《通用软质聚醚型聚氨酯泡沫塑料》标准，理化性能符合国家现行标准。压膜量符合国家现行检测标准。</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9</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超市高货架</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1210310" cy="1174750"/>
                  <wp:effectExtent l="0" t="0" r="8890" b="6350"/>
                  <wp:docPr id="16816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8" name="图片 11"/>
                          <pic:cNvPicPr>
                            <a:picLocks noChangeAspect="1"/>
                          </pic:cNvPicPr>
                        </pic:nvPicPr>
                        <pic:blipFill>
                          <a:blip r:embed="rId18" cstate="print"/>
                          <a:stretch>
                            <a:fillRect/>
                          </a:stretch>
                        </pic:blipFill>
                        <pic:spPr>
                          <a:xfrm>
                            <a:off x="0" y="0"/>
                            <a:ext cx="1210310" cy="1174750"/>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3600*345*2400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钢制架+三聚氰胺免漆板</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基材：采用E0级三聚氰胺颗粒板，品牌不低于大亚、福人、露水河，经防潮、防虫、防腐处理，抗弯力强，不易变形；采用≥18MM。2、封边用材：2mm厚PVC胶边，热熔胶；胶粘剂：采用环保胶粘剂，严密、平整，与整块板材严丝合缝，不允许脱胶、表面有胶渍；3、五金配件：采用优质五金配件，所有五金件作防锈、防腐处理。优质五金支架，厚度1.2mm以上。功能特点：4、人造板制成的部件均应进行封边处理；5、采用热压工艺处理，薄木和其它材料覆面拼贴应严密、平整、不允许有脱胶、鼓泡、无裂纹、压痕和划伤；6、倒棱、圆角、圆线应均匀一致，榫及自装配拆装产品零件结合应牢固严密；</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10</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超市高货架</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871220" cy="1175385"/>
                  <wp:effectExtent l="0" t="0" r="5080" b="5715"/>
                  <wp:docPr id="16816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9" name="图片 12"/>
                          <pic:cNvPicPr>
                            <a:picLocks noChangeAspect="1"/>
                          </pic:cNvPicPr>
                        </pic:nvPicPr>
                        <pic:blipFill>
                          <a:blip r:embed="rId19" cstate="print"/>
                          <a:stretch>
                            <a:fillRect/>
                          </a:stretch>
                        </pic:blipFill>
                        <pic:spPr>
                          <a:xfrm>
                            <a:off x="0" y="0"/>
                            <a:ext cx="871220" cy="1175385"/>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1800*345*2400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钢制架+三聚氰胺免漆板</w:t>
            </w:r>
          </w:p>
        </w:tc>
        <w:tc>
          <w:tcPr>
            <w:tcW w:w="7796" w:type="dxa"/>
            <w:shd w:val="clear" w:color="000000" w:fill="FFFFFF"/>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color w:val="000000"/>
                <w:kern w:val="0"/>
                <w:szCs w:val="21"/>
              </w:rPr>
              <w:t>1、基材：采用E0级三聚氰胺颗粒板，品牌不低于大亚、福人、露水河，经防潮、防虫、防腐处理，抗弯力强，不易变形；采用≥18MM。2、封边用材：2mm厚PVC胶边，热熔胶；胶粘剂：采用环保胶粘剂，严密、平整，与整块板材严丝合缝，不允许脱胶、表面有胶渍；3、五金配件：采用优质五金配件，所有五金件作防锈、防腐处理。优质五金支架，厚度1.2mm以上。功能特点：4、人造板制成的部件均应进行封边处理；5、采用热压工艺处理，薄木和其它材料覆面拼贴应严密、平整、不允许有脱胶、鼓泡、无裂纹、压痕和划伤；6、倒棱、圆角、圆线应均匀一致，榫及自装配拆装产品零件结合应牢固严密；</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11</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超市双面矮货架</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1088390" cy="1183005"/>
                  <wp:effectExtent l="0" t="0" r="16510" b="17145"/>
                  <wp:docPr id="16817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0" name="图片 13"/>
                          <pic:cNvPicPr>
                            <a:picLocks noChangeAspect="1"/>
                          </pic:cNvPicPr>
                        </pic:nvPicPr>
                        <pic:blipFill>
                          <a:blip r:embed="rId20" cstate="print"/>
                          <a:stretch>
                            <a:fillRect/>
                          </a:stretch>
                        </pic:blipFill>
                        <pic:spPr>
                          <a:xfrm>
                            <a:off x="0" y="0"/>
                            <a:ext cx="1088390" cy="1183005"/>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930*660*1350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钢制架+三聚氰胺免漆板</w:t>
            </w:r>
          </w:p>
        </w:tc>
        <w:tc>
          <w:tcPr>
            <w:tcW w:w="7796" w:type="dxa"/>
            <w:shd w:val="clear" w:color="000000" w:fill="FFFFFF"/>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color w:val="000000"/>
                <w:kern w:val="0"/>
                <w:szCs w:val="21"/>
              </w:rPr>
              <w:t>1、基材：采用E0级三聚氰胺颗粒板，品牌不低于大亚、福人、露水河，经防潮、防虫、防腐处理，抗弯力强，不易变形；采用≥18MM。2、封边用材：2mm厚PVC胶边，热熔胶；胶粘剂：采用环保胶粘剂，严密、平整，与整块板材严丝合缝，不允许脱胶、表面有胶渍；3、五金配件：采用优质五金配件，所有五金件作防锈、防腐处理。优质五金支架，厚度1.2mm以上。功能特点：4、人造板制成的部件均应进行封边处理；5、采用热压工艺处理，薄木和其它材料覆面拼贴应严密、平整、不允许有脱胶、鼓泡、无裂纹、压痕和划伤；6、倒棱、圆角、圆线应均匀一致，榫及自装配拆装产品零件结合应牢固严密；</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12</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餐厅办公室双人位办公桌</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1211580" cy="962660"/>
                  <wp:effectExtent l="0" t="0" r="7620" b="8890"/>
                  <wp:docPr id="16817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3" name="图片 16"/>
                          <pic:cNvPicPr>
                            <a:picLocks noChangeAspect="1"/>
                          </pic:cNvPicPr>
                        </pic:nvPicPr>
                        <pic:blipFill>
                          <a:blip r:embed="rId21" cstate="print"/>
                          <a:stretch>
                            <a:fillRect/>
                          </a:stretch>
                        </pic:blipFill>
                        <pic:spPr>
                          <a:xfrm>
                            <a:off x="0" y="0"/>
                            <a:ext cx="1211580" cy="962660"/>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1400*1200*1050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钢制架+三聚氰胺免漆板</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基材：采用E0级三聚氰胺颗粒板，品牌不低于大亚、福人、露水河，经防潮、防虫、防腐处理，抗弯力强，不易变形；采用≥18MM。2、封边用材：2mm厚PVC胶边，热熔胶；胶粘剂：采用环保胶粘剂，严密、平整，与整块板材严丝合缝，不允许脱胶、表面有胶渍；3、五金配件：采用优质五金配件，所有五金件作防锈、防腐处理。功能特点：4、人造板制成的部件均应进行封边处理；5、采用热压工艺处理，薄木和其它材料覆面拼贴应严密、平整、不允许有脱胶、鼓泡、无裂纹、压痕和划伤；6、倒棱、圆角、圆线应均匀一致，榫及自装配拆装产品零件结合应牢固严密；</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13</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餐厅办公室办公椅</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844550" cy="1033145"/>
                  <wp:effectExtent l="0" t="0" r="12700" b="14605"/>
                  <wp:docPr id="16817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4" name="图片 17"/>
                          <pic:cNvPicPr>
                            <a:picLocks noChangeAspect="1"/>
                          </pic:cNvPicPr>
                        </pic:nvPicPr>
                        <pic:blipFill>
                          <a:blip r:embed="rId22" cstate="print"/>
                          <a:stretch>
                            <a:fillRect/>
                          </a:stretch>
                        </pic:blipFill>
                        <pic:spPr>
                          <a:xfrm>
                            <a:off x="0" y="0"/>
                            <a:ext cx="844550" cy="1033145"/>
                          </a:xfrm>
                          <a:prstGeom prst="rect">
                            <a:avLst/>
                          </a:prstGeom>
                          <a:noFill/>
                          <a:ln w="9525">
                            <a:noFill/>
                          </a:ln>
                        </pic:spPr>
                      </pic:pic>
                    </a:graphicData>
                  </a:graphic>
                </wp:inline>
              </w:drawing>
            </w:r>
          </w:p>
        </w:tc>
        <w:tc>
          <w:tcPr>
            <w:tcW w:w="1132"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常规</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1、PP 加纤维背架尼龙固定腰靠。2、PP 分体固定扶手。3、高弹力海绵。符合 GB/T10802-2006《通用软质聚醚型聚氨酯泡沫塑料》标准。理化性能应符合国家现行标准。软硬适中，压膜量达到国家现行检测标准。海绵厚度≥50mm。4、配原位锁定底盘。100#沉口，约 4 0mm杆，尼龙轮。</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14</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一层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餐厅临时衣帽间</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845820" cy="1072515"/>
                  <wp:effectExtent l="0" t="0" r="11430" b="13335"/>
                  <wp:docPr id="16817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5" name="图片 18"/>
                          <pic:cNvPicPr>
                            <a:picLocks noChangeAspect="1"/>
                          </pic:cNvPicPr>
                        </pic:nvPicPr>
                        <pic:blipFill>
                          <a:blip r:embed="rId23" cstate="print"/>
                          <a:stretch>
                            <a:fillRect/>
                          </a:stretch>
                        </pic:blipFill>
                        <pic:spPr>
                          <a:xfrm>
                            <a:off x="0" y="0"/>
                            <a:ext cx="845820" cy="1072515"/>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900*420*1800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钢制</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材质：优质一级冷轧镀锌钢板，面板厚度≥0.8mm。2、工艺：本体一体折弯，表面无焊点，内附棚板且棚板高度可调节，无损。3、表面处理：整个柜体采用自动流水线，柜体表面经磷化液酸洗、磷化处理，表面采用高强度、耐酸碱、抗老化，优质环氧树脂塑粉静电喷塑处理。4、内置上 1 铝合金挂衣杆、下 1 层板、钢制内嵌拉手、功能锁具、透气风窗、塑料标签框。</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15</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二层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宿舍书桌</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916305" cy="1130935"/>
                  <wp:effectExtent l="0" t="0" r="17145" b="12065"/>
                  <wp:docPr id="16819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90" name="图片 39"/>
                          <pic:cNvPicPr>
                            <a:picLocks noChangeAspect="1"/>
                          </pic:cNvPicPr>
                        </pic:nvPicPr>
                        <pic:blipFill>
                          <a:blip r:embed="rId24" cstate="print"/>
                          <a:stretch>
                            <a:fillRect/>
                          </a:stretch>
                        </pic:blipFill>
                        <pic:spPr>
                          <a:xfrm>
                            <a:off x="0" y="0"/>
                            <a:ext cx="916305" cy="1130935"/>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书桌1000*550*750（桌面挡板高300）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钢架+三聚氰胺免漆板</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基材：采用E0级三聚氰胺颗粒板，品牌不低于大亚、福人、露水河，经防潮、防虫、防腐处理，抗弯力强，不易变形；采用≥18MM。2、封边用材：2mm厚PVC胶边，热熔胶；胶粘剂：采用环保胶粘剂，严密、平整，与整块板材严丝合缝，不允许脱胶、表面有胶渍；3、五金配件：采用优质五金配件，所有五金件作防锈、防腐处理。功能特点：4、人造板制成的部件均应进行封边处理；5、采用热压工艺处理，薄木和其它材料覆面拼贴应严密、平整、不允许有脱胶、鼓泡、无裂纹、压痕和划伤；6、倒棱、圆角、圆线应均匀一致，榫及自装配拆装产品零件结合应牢固严密； 配置钢架。</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16</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二层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highlight w:val="yellow"/>
              </w:rPr>
            </w:pPr>
            <w:r>
              <w:rPr>
                <w:rFonts w:hint="eastAsia" w:cs="宋体" w:asciiTheme="majorEastAsia" w:hAnsiTheme="majorEastAsia" w:eastAsiaTheme="majorEastAsia"/>
                <w:color w:val="000000"/>
                <w:kern w:val="0"/>
                <w:szCs w:val="21"/>
              </w:rPr>
              <w:t>宿舍书桌椅、活动室休闲椅</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highlight w:val="yellow"/>
              </w:rPr>
            </w:pPr>
            <w:r>
              <w:rPr>
                <w:rFonts w:asciiTheme="majorEastAsia" w:hAnsiTheme="majorEastAsia" w:eastAsiaTheme="majorEastAsia"/>
                <w:szCs w:val="21"/>
                <w:highlight w:val="yellow"/>
              </w:rPr>
              <w:drawing>
                <wp:inline distT="0" distB="0" distL="114300" distR="114300">
                  <wp:extent cx="798195" cy="946785"/>
                  <wp:effectExtent l="0" t="0" r="1905" b="5715"/>
                  <wp:docPr id="16818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7" name="图片 15"/>
                          <pic:cNvPicPr>
                            <a:picLocks noChangeAspect="1"/>
                          </pic:cNvPicPr>
                        </pic:nvPicPr>
                        <pic:blipFill>
                          <a:blip r:embed="rId25" cstate="print"/>
                          <a:stretch>
                            <a:fillRect/>
                          </a:stretch>
                        </pic:blipFill>
                        <pic:spPr>
                          <a:xfrm>
                            <a:off x="0" y="0"/>
                            <a:ext cx="798195" cy="946785"/>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常规</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1、椅子：PP 加纤维背架尼龙固定腰靠。2、电镀实心回形钢脚架。3、海绵厚度≥30mm，高弹力海绵。符合 GB/T10802-2006《通用软质聚醚型聚氨酯泡沫塑料》标准，理化性能符合国家现行标准。压膜量符合国家现行检测标准。</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17</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二层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asciiTheme="majorEastAsia" w:hAnsiTheme="majorEastAsia" w:eastAsiaTheme="majorEastAsia"/>
                <w:b/>
                <w:szCs w:val="21"/>
                <w:highlight w:val="yellow"/>
              </w:rPr>
              <w:t>※</w:t>
            </w:r>
            <w:r>
              <w:rPr>
                <w:rFonts w:hint="eastAsia" w:cs="宋体" w:asciiTheme="majorEastAsia" w:hAnsiTheme="majorEastAsia" w:eastAsiaTheme="majorEastAsia"/>
                <w:color w:val="000000"/>
                <w:kern w:val="0"/>
                <w:szCs w:val="21"/>
                <w:highlight w:val="yellow"/>
              </w:rPr>
              <w:t>宿舍衣柜</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692150" cy="1129665"/>
                  <wp:effectExtent l="0" t="0" r="12700" b="13335"/>
                  <wp:docPr id="16817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6" name="图片 26"/>
                          <pic:cNvPicPr>
                            <a:picLocks noChangeAspect="1"/>
                          </pic:cNvPicPr>
                        </pic:nvPicPr>
                        <pic:blipFill>
                          <a:blip r:embed="rId26" cstate="print"/>
                          <a:stretch>
                            <a:fillRect/>
                          </a:stretch>
                        </pic:blipFill>
                        <pic:spPr>
                          <a:xfrm>
                            <a:off x="0" y="0"/>
                            <a:ext cx="692150" cy="1129665"/>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1500*550*2400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三聚氰胺免漆板</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基材：采用E0级三聚氰胺颗粒板，品牌不低于大亚、福人、露水河，经防潮、防虫、防腐处理，抗弯力强，不易变形；采用≥18MM。2、封边用材：2mm厚PVC胶边，热熔胶；胶粘剂：采用环保胶粘剂，严密、平整，与整块板材严丝合缝，不允许脱胶、表面有胶渍；3、五金配件：采用优质五金配件，所有五金件作防锈、防腐处理。功能特点：4、人造板制成的部件均应进行封边处理；5、采用热压工艺处理，薄木和其它材料覆面拼贴应严密、平整、不允许有脱胶、鼓泡、无裂纹、压痕和划伤；6、倒棱、圆角、圆线应均匀一致，榫及自装配拆装产品零件结合应牢固严密；</w:t>
            </w:r>
            <w:r>
              <w:rPr>
                <w:rFonts w:hint="eastAsia" w:cs="宋体" w:asciiTheme="majorEastAsia" w:hAnsiTheme="majorEastAsia" w:eastAsiaTheme="majorEastAsia"/>
                <w:color w:val="000000"/>
                <w:kern w:val="0"/>
                <w:szCs w:val="21"/>
                <w:highlight w:val="yellow"/>
              </w:rPr>
              <w:t>开标时提供原木色300*300MM切角样块一块。</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18</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二层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asciiTheme="majorEastAsia" w:hAnsiTheme="majorEastAsia" w:eastAsiaTheme="majorEastAsia"/>
                <w:b/>
                <w:szCs w:val="21"/>
                <w:highlight w:val="yellow"/>
              </w:rPr>
              <w:t>※</w:t>
            </w:r>
            <w:r>
              <w:rPr>
                <w:rFonts w:hint="eastAsia" w:cs="宋体" w:asciiTheme="majorEastAsia" w:hAnsiTheme="majorEastAsia" w:eastAsiaTheme="majorEastAsia"/>
                <w:color w:val="000000"/>
                <w:kern w:val="0"/>
                <w:szCs w:val="21"/>
                <w:highlight w:val="yellow"/>
              </w:rPr>
              <w:t>宿舍上下床</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841375" cy="1132205"/>
                  <wp:effectExtent l="0" t="0" r="15875" b="10795"/>
                  <wp:docPr id="16817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7" name="图片 29"/>
                          <pic:cNvPicPr>
                            <a:picLocks noChangeAspect="1"/>
                          </pic:cNvPicPr>
                        </pic:nvPicPr>
                        <pic:blipFill>
                          <a:blip r:embed="rId27" cstate="print"/>
                          <a:stretch>
                            <a:fillRect/>
                          </a:stretch>
                        </pic:blipFill>
                        <pic:spPr>
                          <a:xfrm>
                            <a:off x="0" y="0"/>
                            <a:ext cx="841375" cy="1132205"/>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2000*1000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实木</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1.整体采用进口实木，立柱采用</w:t>
            </w:r>
            <w:r>
              <w:rPr>
                <w:rFonts w:hint="eastAsia" w:cs="宋体" w:asciiTheme="majorEastAsia" w:hAnsiTheme="majorEastAsia" w:eastAsiaTheme="majorEastAsia"/>
                <w:kern w:val="0"/>
                <w:szCs w:val="21"/>
              </w:rPr>
              <w:t>≥</w:t>
            </w:r>
            <w:r>
              <w:rPr>
                <w:rFonts w:hint="eastAsia" w:cs="宋体" w:asciiTheme="majorEastAsia" w:hAnsiTheme="majorEastAsia" w:eastAsiaTheme="majorEastAsia"/>
                <w:color w:val="000000"/>
                <w:kern w:val="0"/>
                <w:szCs w:val="21"/>
              </w:rPr>
              <w:t>60*60MM加粗立柱，床板下设6根加粗横梁，防止变形、下沉。                                            2.▲油漆面漆：采用优质环保漆，品牌不低于华润、多乐士、嘉宝莉，符合GB 18581-2009《室内装饰装修材料 溶剂型木器涂料中有害物质限量》标准，挥发性有机化合物含量≤670g/L，苯含量≤0.3%，甲苯、二甲苯、乙苯含量总和≤30%，游离二异氰酸酯含量总和≤0.4%，卤代烃含量≤0.1%。3.▲油漆底漆：采用优质环保漆，符合GB 18581-2009《室内装饰装修材料 溶剂型木器涂料中有害物质限量》标准，挥发性有机化合物含量≤670g/L，苯含量≤0.3%，甲苯、二甲苯、乙苯含量总和≤30%，游离二异氰酸酯含量总和≤0.4%，卤代烃含量≤0.1%。          4.▲胶水（白乳胶）：GB 18583-2008《室内装饰装修材料胶粘剂中有害物质限量》检测要求：游离甲醛≤0.05g/kg，苯≤0.01g/kg，甲苯+二甲苯≤0.04g/kg，总挥发性有机物≤110g/L。外观简洁美观，打磨精细，无毛刺，无明显结巴影响外观。</w:t>
            </w:r>
            <w:r>
              <w:rPr>
                <w:rFonts w:hint="eastAsia" w:cs="宋体" w:asciiTheme="majorEastAsia" w:hAnsiTheme="majorEastAsia" w:eastAsiaTheme="majorEastAsia"/>
                <w:color w:val="000000"/>
                <w:kern w:val="0"/>
                <w:szCs w:val="21"/>
                <w:highlight w:val="yellow"/>
              </w:rPr>
              <w:t>开标时提供立柱样品300MM长一根。</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3" w:hRule="atLeast"/>
          <w:jc w:val="center"/>
        </w:trPr>
        <w:tc>
          <w:tcPr>
            <w:tcW w:w="555" w:type="dxa"/>
            <w:shd w:val="clear" w:color="auto" w:fill="auto"/>
            <w:noWrap/>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19</w:t>
            </w:r>
          </w:p>
        </w:tc>
        <w:tc>
          <w:tcPr>
            <w:tcW w:w="910"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二层</w:t>
            </w:r>
          </w:p>
        </w:tc>
        <w:tc>
          <w:tcPr>
            <w:tcW w:w="995" w:type="dxa"/>
            <w:shd w:val="clear" w:color="auto" w:fill="auto"/>
            <w:vAlign w:val="center"/>
          </w:tcPr>
          <w:p>
            <w:pPr>
              <w:widowControl/>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淋浴室（男）更衣柜</w:t>
            </w:r>
          </w:p>
        </w:tc>
        <w:tc>
          <w:tcPr>
            <w:tcW w:w="2215"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asciiTheme="majorEastAsia" w:hAnsiTheme="majorEastAsia" w:eastAsiaTheme="majorEastAsia"/>
                <w:sz w:val="15"/>
                <w:szCs w:val="15"/>
              </w:rPr>
              <w:drawing>
                <wp:inline distT="0" distB="0" distL="114300" distR="114300">
                  <wp:extent cx="956310" cy="1214120"/>
                  <wp:effectExtent l="0" t="0" r="15240" b="5080"/>
                  <wp:docPr id="16817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8" name="图片 32"/>
                          <pic:cNvPicPr>
                            <a:picLocks noChangeAspect="1"/>
                          </pic:cNvPicPr>
                        </pic:nvPicPr>
                        <pic:blipFill>
                          <a:blip r:embed="rId28" cstate="print"/>
                          <a:stretch>
                            <a:fillRect/>
                          </a:stretch>
                        </pic:blipFill>
                        <pic:spPr>
                          <a:xfrm>
                            <a:off x="0" y="0"/>
                            <a:ext cx="956310" cy="1214120"/>
                          </a:xfrm>
                          <a:prstGeom prst="rect">
                            <a:avLst/>
                          </a:prstGeom>
                          <a:noFill/>
                          <a:ln w="9525">
                            <a:noFill/>
                          </a:ln>
                        </pic:spPr>
                      </pic:pic>
                    </a:graphicData>
                  </a:graphic>
                </wp:inline>
              </w:drawing>
            </w:r>
          </w:p>
        </w:tc>
        <w:tc>
          <w:tcPr>
            <w:tcW w:w="1132" w:type="dxa"/>
            <w:shd w:val="clear" w:color="auto" w:fill="auto"/>
            <w:vAlign w:val="center"/>
          </w:tcPr>
          <w:p>
            <w:pPr>
              <w:widowControl/>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900*420*1800</w:t>
            </w:r>
          </w:p>
        </w:tc>
        <w:tc>
          <w:tcPr>
            <w:tcW w:w="709"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铁皮</w:t>
            </w:r>
          </w:p>
        </w:tc>
        <w:tc>
          <w:tcPr>
            <w:tcW w:w="7796" w:type="dxa"/>
            <w:shd w:val="clear" w:color="000000" w:fill="FFFFFF"/>
            <w:vAlign w:val="center"/>
          </w:tcPr>
          <w:p>
            <w:pPr>
              <w:widowControl/>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1、材质：优质一级冷轧镀锌钢板，面板厚度≥0.8mm。2、工艺：本体一体折弯，表面无焊点，内附棚板且棚板高度可调节，无损。3、表面处理：整个柜体采用自动流水线，柜体表面经磷化液酸洗、磷化处理，表面采用高强度、耐酸碱、抗老化，优质环氧树脂塑粉静电喷塑处理。4、内置上 1 铝合金挂衣杆、下 1 层板、钢制内嵌拉手、功能锁具、透气风窗、塑料标签框。</w:t>
            </w:r>
          </w:p>
        </w:tc>
        <w:tc>
          <w:tcPr>
            <w:tcW w:w="567"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jc w:val="center"/>
        </w:trPr>
        <w:tc>
          <w:tcPr>
            <w:tcW w:w="555" w:type="dxa"/>
            <w:shd w:val="clear" w:color="auto" w:fill="auto"/>
            <w:noWrap/>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20</w:t>
            </w:r>
          </w:p>
        </w:tc>
        <w:tc>
          <w:tcPr>
            <w:tcW w:w="910"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二层</w:t>
            </w:r>
          </w:p>
        </w:tc>
        <w:tc>
          <w:tcPr>
            <w:tcW w:w="995" w:type="dxa"/>
            <w:shd w:val="clear" w:color="auto" w:fill="auto"/>
            <w:vAlign w:val="center"/>
          </w:tcPr>
          <w:p>
            <w:pPr>
              <w:widowControl/>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宿管员休息间单人床</w:t>
            </w:r>
          </w:p>
        </w:tc>
        <w:tc>
          <w:tcPr>
            <w:tcW w:w="2215"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asciiTheme="majorEastAsia" w:hAnsiTheme="majorEastAsia" w:eastAsiaTheme="majorEastAsia"/>
                <w:sz w:val="15"/>
                <w:szCs w:val="15"/>
              </w:rPr>
              <w:drawing>
                <wp:inline distT="0" distB="0" distL="114300" distR="114300">
                  <wp:extent cx="1109980" cy="974725"/>
                  <wp:effectExtent l="0" t="0" r="13970" b="15875"/>
                  <wp:docPr id="16817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9" name="图片 35"/>
                          <pic:cNvPicPr>
                            <a:picLocks noChangeAspect="1"/>
                          </pic:cNvPicPr>
                        </pic:nvPicPr>
                        <pic:blipFill>
                          <a:blip r:embed="rId29" cstate="print"/>
                          <a:stretch>
                            <a:fillRect/>
                          </a:stretch>
                        </pic:blipFill>
                        <pic:spPr>
                          <a:xfrm>
                            <a:off x="0" y="0"/>
                            <a:ext cx="1109980" cy="974725"/>
                          </a:xfrm>
                          <a:prstGeom prst="rect">
                            <a:avLst/>
                          </a:prstGeom>
                          <a:noFill/>
                          <a:ln w="9525">
                            <a:noFill/>
                          </a:ln>
                        </pic:spPr>
                      </pic:pic>
                    </a:graphicData>
                  </a:graphic>
                </wp:inline>
              </w:drawing>
            </w:r>
          </w:p>
        </w:tc>
        <w:tc>
          <w:tcPr>
            <w:tcW w:w="1132" w:type="dxa"/>
            <w:shd w:val="clear" w:color="auto" w:fill="auto"/>
            <w:vAlign w:val="center"/>
          </w:tcPr>
          <w:p>
            <w:pPr>
              <w:widowControl/>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2000*1000</w:t>
            </w:r>
          </w:p>
        </w:tc>
        <w:tc>
          <w:tcPr>
            <w:tcW w:w="709" w:type="dxa"/>
            <w:shd w:val="clear" w:color="auto" w:fill="auto"/>
            <w:vAlign w:val="center"/>
          </w:tcPr>
          <w:p>
            <w:pPr>
              <w:widowControl/>
              <w:spacing w:line="0" w:lineRule="atLeast"/>
              <w:rPr>
                <w:rFonts w:cs="宋体" w:asciiTheme="majorEastAsia" w:hAnsiTheme="majorEastAsia" w:eastAsiaTheme="majorEastAsia"/>
                <w:kern w:val="0"/>
                <w:sz w:val="15"/>
                <w:szCs w:val="15"/>
              </w:rPr>
            </w:pPr>
          </w:p>
        </w:tc>
        <w:tc>
          <w:tcPr>
            <w:tcW w:w="7796" w:type="dxa"/>
            <w:shd w:val="clear" w:color="000000" w:fill="FFFFFF"/>
            <w:vAlign w:val="center"/>
          </w:tcPr>
          <w:p>
            <w:pPr>
              <w:widowControl/>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1.整体采用进口实木，床板下设5根加粗横梁，防止变形、下沉。                                               2.▲油漆面漆：采用优质环保漆，品牌不低于华润、多乐士、嘉宝莉，符合GB 18581-2009《室内装饰装修材料 溶剂型木器涂料中有害物质限量》标准，挥发性有机化合物含量≤670g/L，苯含量≤0.3%，甲苯、二甲苯、乙苯含量总和≤30%，游离二异氰酸酯含量总和≤0.4%，卤代烃含量≤0.1%。3.▲油漆底漆：采用优质环保漆，符合GB 18581-2009《室内装饰装修材料 溶剂型木器涂料中有害物质限量》标准，挥发性有机化合物含量≤670g/L，苯含量≤0.3%，甲苯、二甲苯、乙苯含量总和≤30%，游离二异氰酸酯含量总和≤0.4%，卤代烃含量≤0.1%。          4.▲胶水（白乳胶）：GB 18583-2008《室内装饰装修材料胶粘剂中有害物质限量》检测要求：游离甲醛≤0.05g/kg，苯≤0.01g/kg，甲苯+二甲苯≤0.04g/kg，总挥发性有机物≤110g/L。外观简洁美观，打磨精细，无毛刺，无明显结巴影响外观。</w:t>
            </w:r>
          </w:p>
        </w:tc>
        <w:tc>
          <w:tcPr>
            <w:tcW w:w="567"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4" w:hRule="atLeast"/>
          <w:jc w:val="center"/>
        </w:trPr>
        <w:tc>
          <w:tcPr>
            <w:tcW w:w="555" w:type="dxa"/>
            <w:shd w:val="clear" w:color="auto" w:fill="auto"/>
            <w:noWrap/>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21</w:t>
            </w:r>
          </w:p>
        </w:tc>
        <w:tc>
          <w:tcPr>
            <w:tcW w:w="910"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二层</w:t>
            </w:r>
          </w:p>
        </w:tc>
        <w:tc>
          <w:tcPr>
            <w:tcW w:w="995" w:type="dxa"/>
            <w:shd w:val="clear" w:color="auto" w:fill="auto"/>
            <w:vAlign w:val="center"/>
          </w:tcPr>
          <w:p>
            <w:pPr>
              <w:widowControl/>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宿管员休息间床头柜</w:t>
            </w:r>
          </w:p>
        </w:tc>
        <w:tc>
          <w:tcPr>
            <w:tcW w:w="2215"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asciiTheme="majorEastAsia" w:hAnsiTheme="majorEastAsia" w:eastAsiaTheme="majorEastAsia"/>
                <w:sz w:val="15"/>
                <w:szCs w:val="15"/>
              </w:rPr>
              <w:drawing>
                <wp:inline distT="0" distB="0" distL="114300" distR="114300">
                  <wp:extent cx="1109980" cy="974725"/>
                  <wp:effectExtent l="0" t="0" r="13970" b="15875"/>
                  <wp:docPr id="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pic:cNvPicPr>
                            <a:picLocks noChangeAspect="1"/>
                          </pic:cNvPicPr>
                        </pic:nvPicPr>
                        <pic:blipFill>
                          <a:blip r:embed="rId29" cstate="print"/>
                          <a:stretch>
                            <a:fillRect/>
                          </a:stretch>
                        </pic:blipFill>
                        <pic:spPr>
                          <a:xfrm>
                            <a:off x="0" y="0"/>
                            <a:ext cx="1109980" cy="974725"/>
                          </a:xfrm>
                          <a:prstGeom prst="rect">
                            <a:avLst/>
                          </a:prstGeom>
                          <a:noFill/>
                          <a:ln w="9525">
                            <a:noFill/>
                          </a:ln>
                        </pic:spPr>
                      </pic:pic>
                    </a:graphicData>
                  </a:graphic>
                </wp:inline>
              </w:drawing>
            </w:r>
          </w:p>
        </w:tc>
        <w:tc>
          <w:tcPr>
            <w:tcW w:w="1132"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常规</w:t>
            </w:r>
          </w:p>
        </w:tc>
        <w:tc>
          <w:tcPr>
            <w:tcW w:w="709" w:type="dxa"/>
            <w:shd w:val="clear" w:color="auto" w:fill="auto"/>
            <w:vAlign w:val="center"/>
          </w:tcPr>
          <w:p>
            <w:pPr>
              <w:widowControl/>
              <w:spacing w:line="0" w:lineRule="atLeast"/>
              <w:rPr>
                <w:rFonts w:cs="宋体" w:asciiTheme="majorEastAsia" w:hAnsiTheme="majorEastAsia" w:eastAsiaTheme="majorEastAsia"/>
                <w:kern w:val="0"/>
                <w:sz w:val="15"/>
                <w:szCs w:val="15"/>
              </w:rPr>
            </w:pPr>
          </w:p>
        </w:tc>
        <w:tc>
          <w:tcPr>
            <w:tcW w:w="7796" w:type="dxa"/>
            <w:shd w:val="clear" w:color="000000" w:fill="FFFFFF"/>
            <w:vAlign w:val="center"/>
          </w:tcPr>
          <w:p>
            <w:pPr>
              <w:widowControl/>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1.整体采用进口实木，床板下设5根加粗横梁，防止变形、下沉。                                            2.▲油漆面漆：采用优质环保漆，品牌不低于华润、多乐士、嘉宝莉，符合GB 18581-2009《室内装饰装修材料 溶剂型木器涂料中有害物质限量》标准，挥发性有机化合物含量≤670g/L，苯含量≤0.3%，甲苯、二甲苯、乙苯含量总和≤30%，游离二异氰酸酯含量总和≤0.4%，卤代烃含量≤0.1%。3.▲油漆底漆：采用优质环保漆，符合GB 18581-2009《室内装饰装修材料 溶剂型木器涂料中有害物质限量》标准，挥发性有机化合物含量≤670g/L，苯含量≤0.3%，甲苯、二甲苯、乙苯含量总和≤30%，游离二异氰酸酯含量总和≤0.4%，卤代烃含量≤0.1%。          4.▲胶水（白乳胶）：GB 18583-2008《室内装饰装修材料胶粘剂中有害物质限量》检测要求：游离甲醛≤0.05g/kg，苯≤0.01g/kg，甲苯+二甲苯≤0.04g/kg，总挥发性有机物≤110g/L。外观简洁美观，打磨精细，无毛刺，无明显结巴影响外观。</w:t>
            </w:r>
          </w:p>
        </w:tc>
        <w:tc>
          <w:tcPr>
            <w:tcW w:w="567"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22</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三层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宿舍衣柜</w:t>
            </w:r>
          </w:p>
        </w:tc>
        <w:tc>
          <w:tcPr>
            <w:tcW w:w="221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asciiTheme="majorEastAsia" w:hAnsiTheme="majorEastAsia" w:eastAsiaTheme="majorEastAsia"/>
                <w:szCs w:val="21"/>
              </w:rPr>
              <w:drawing>
                <wp:inline distT="0" distB="0" distL="114300" distR="114300">
                  <wp:extent cx="684530" cy="1191895"/>
                  <wp:effectExtent l="0" t="0" r="1270" b="8255"/>
                  <wp:docPr id="16818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4" name="图片 47"/>
                          <pic:cNvPicPr>
                            <a:picLocks noChangeAspect="1"/>
                          </pic:cNvPicPr>
                        </pic:nvPicPr>
                        <pic:blipFill>
                          <a:blip r:embed="rId30" cstate="print"/>
                          <a:stretch>
                            <a:fillRect/>
                          </a:stretch>
                        </pic:blipFill>
                        <pic:spPr>
                          <a:xfrm>
                            <a:off x="0" y="0"/>
                            <a:ext cx="684530" cy="1191895"/>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1500*550*2400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三聚氰胺免漆板</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基材：采用E0级三聚氰胺颗粒板，品牌不低于大亚、福人、露水河，经防潮、防虫、防腐处理，抗弯力强，不易变形；采用≥18MM。2、封边用材：2mm厚PVC胶边，热熔胶；胶粘剂：采用环保胶粘剂，严密、平整，与整块板材严丝合缝，不允许脱胶、表面有胶渍；3、五金配件：采用优质五金配件，所有五金件作防锈、防腐处理。功能特点：4、人造板制成的部件均应进行封边处理；5、采用热压工艺处理，薄木和其它材料覆面拼贴应严密、平整、不允许有脱胶、鼓泡、无裂纹、压痕和划伤；6、倒棱、圆角、圆线应均匀一致，榫及自装配拆装产品零件结合应牢固严密。</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23</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三层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宿舍衣柜（五门衣柜）</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657225" cy="1207135"/>
                  <wp:effectExtent l="0" t="0" r="9525" b="12065"/>
                  <wp:docPr id="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7"/>
                          <pic:cNvPicPr>
                            <a:picLocks noChangeAspect="1"/>
                          </pic:cNvPicPr>
                        </pic:nvPicPr>
                        <pic:blipFill>
                          <a:blip r:embed="rId31" cstate="print"/>
                          <a:stretch>
                            <a:fillRect/>
                          </a:stretch>
                        </pic:blipFill>
                        <pic:spPr>
                          <a:xfrm>
                            <a:off x="0" y="0"/>
                            <a:ext cx="657225" cy="1207135"/>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2520*550*2400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三聚氰胺免漆板</w:t>
            </w:r>
          </w:p>
        </w:tc>
        <w:tc>
          <w:tcPr>
            <w:tcW w:w="7796" w:type="dxa"/>
            <w:shd w:val="clear" w:color="000000" w:fill="FFFFFF"/>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color w:val="000000"/>
                <w:kern w:val="0"/>
                <w:szCs w:val="21"/>
              </w:rPr>
              <w:t>1、基材：采用E0级三聚氰胺颗粒板，品牌不低于大亚、福人、露水河，经防潮、防虫、防腐处理，抗弯力强，不易变形；采用≥18MM。2、封边用材：2mm厚PVC胶边，热熔胶；胶粘剂：采用环保胶粘剂，严密、平整，与整块板材严丝合缝，不允许脱胶、表面有胶渍；3、五金配件：采用优质五金配件，所有五金件作防锈、防腐处理。功能特点：4、人造板制成的部件均应进行封边处理；5、采用热压工艺处理，薄木和其它材料覆面拼贴应严密、平整、不允许有脱胶、鼓泡、无裂纹、压痕和划伤；6、倒棱、圆角、圆线应均匀一致，榫及自装配拆装产品零件结合应牢固严密。</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24</w:t>
            </w:r>
          </w:p>
        </w:tc>
        <w:tc>
          <w:tcPr>
            <w:tcW w:w="910" w:type="dxa"/>
            <w:shd w:val="clear" w:color="auto" w:fill="auto"/>
            <w:vAlign w:val="center"/>
          </w:tcPr>
          <w:p>
            <w:pPr>
              <w:widowControl/>
              <w:spacing w:line="0" w:lineRule="atLeast"/>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三层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宿舍书桌</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 w:val="15"/>
                <w:szCs w:val="15"/>
              </w:rPr>
            </w:pPr>
            <w:r>
              <w:rPr>
                <w:rFonts w:asciiTheme="majorEastAsia" w:hAnsiTheme="majorEastAsia" w:eastAsiaTheme="majorEastAsia"/>
                <w:sz w:val="15"/>
                <w:szCs w:val="15"/>
              </w:rPr>
              <w:drawing>
                <wp:inline distT="0" distB="0" distL="114300" distR="114300">
                  <wp:extent cx="872490" cy="1176020"/>
                  <wp:effectExtent l="0" t="0" r="3810" b="5080"/>
                  <wp:docPr id="16818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1" name="图片 39"/>
                          <pic:cNvPicPr>
                            <a:picLocks noChangeAspect="1"/>
                          </pic:cNvPicPr>
                        </pic:nvPicPr>
                        <pic:blipFill>
                          <a:blip r:embed="rId32" cstate="print"/>
                          <a:stretch>
                            <a:fillRect/>
                          </a:stretch>
                        </pic:blipFill>
                        <pic:spPr>
                          <a:xfrm>
                            <a:off x="0" y="0"/>
                            <a:ext cx="872490" cy="1176020"/>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1000*550*750（桌面挡板高300）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钢架+三聚氰胺免漆板</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 w:val="15"/>
                <w:szCs w:val="15"/>
              </w:rPr>
            </w:pPr>
            <w:r>
              <w:rPr>
                <w:rFonts w:hint="eastAsia" w:cs="宋体" w:asciiTheme="majorEastAsia" w:hAnsiTheme="majorEastAsia" w:eastAsiaTheme="majorEastAsia"/>
                <w:color w:val="000000"/>
                <w:kern w:val="0"/>
                <w:sz w:val="15"/>
                <w:szCs w:val="15"/>
              </w:rPr>
              <w:t>1、基材：采用E0级三聚氰胺颗粒板，品牌不低于大亚、福人、露水河，经防潮、防虫、防腐处理，抗弯力强，不易变形；采用≥18MM。2、封边用材：2mm厚PVC胶边，热熔胶；胶粘剂：采用环保胶粘剂，严密、平整，与整块板材严丝合缝，不允许脱胶、表面有胶渍；3、五金配件：采用优质五金配件，所有五金件作防锈、防腐处理。功能特点：4、人造板制成的部件均应进行封边处理；5、采用热压工艺处理，薄木和其它材料覆面拼贴应严密、平整、不允许有脱胶、鼓泡、无裂纹、压痕和划伤；6、倒棱、圆角、圆线应均匀一致，榫及自装配拆装产品零件结合应牢固严密； 配置钢架。</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 w:val="15"/>
                <w:szCs w:val="15"/>
              </w:rPr>
            </w:pPr>
            <w:r>
              <w:rPr>
                <w:rFonts w:hint="eastAsia" w:cs="宋体" w:asciiTheme="majorEastAsia" w:hAnsiTheme="majorEastAsia" w:eastAsiaTheme="majorEastAsia"/>
                <w:kern w:val="0"/>
                <w:sz w:val="15"/>
                <w:szCs w:val="15"/>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7"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25</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三层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asciiTheme="majorEastAsia" w:hAnsiTheme="majorEastAsia" w:eastAsiaTheme="majorEastAsia"/>
                <w:b/>
                <w:szCs w:val="21"/>
                <w:highlight w:val="yellow"/>
              </w:rPr>
              <w:t>※</w:t>
            </w:r>
            <w:r>
              <w:rPr>
                <w:rFonts w:hint="eastAsia" w:cs="宋体" w:asciiTheme="majorEastAsia" w:hAnsiTheme="majorEastAsia" w:eastAsiaTheme="majorEastAsia"/>
                <w:color w:val="000000"/>
                <w:kern w:val="0"/>
                <w:szCs w:val="21"/>
                <w:highlight w:val="yellow"/>
              </w:rPr>
              <w:t>宿舍书桌椅</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931545" cy="1104900"/>
                  <wp:effectExtent l="0" t="0" r="1905" b="0"/>
                  <wp:docPr id="16818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6" name="图片 15"/>
                          <pic:cNvPicPr>
                            <a:picLocks noChangeAspect="1"/>
                          </pic:cNvPicPr>
                        </pic:nvPicPr>
                        <pic:blipFill>
                          <a:blip r:embed="rId33" cstate="print"/>
                          <a:stretch>
                            <a:fillRect/>
                          </a:stretch>
                        </pic:blipFill>
                        <pic:spPr>
                          <a:xfrm>
                            <a:off x="0" y="0"/>
                            <a:ext cx="931545" cy="1104900"/>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常规</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1、椅子：PP 加纤维背架尼龙固定腰靠。2、电镀实心回形钢脚架。3、海绵厚度≥30mm，高弹力海绵。符合 GB/T10802-2006《通用软质聚醚型聚氨酯泡沫塑料》标准，理化性能符合国家现行标准。压膜量符合国家现行检测标准。</w:t>
            </w:r>
            <w:r>
              <w:rPr>
                <w:rFonts w:hint="eastAsia" w:cs="宋体" w:asciiTheme="majorEastAsia" w:hAnsiTheme="majorEastAsia" w:eastAsiaTheme="majorEastAsia"/>
                <w:color w:val="000000"/>
                <w:kern w:val="0"/>
                <w:szCs w:val="21"/>
                <w:highlight w:val="yellow"/>
              </w:rPr>
              <w:t>（开标时须提供样品一把）</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26</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三层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宿舍单人床</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1130300" cy="993140"/>
                  <wp:effectExtent l="0" t="0" r="12700" b="16510"/>
                  <wp:docPr id="16818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9" name="图片 35"/>
                          <pic:cNvPicPr>
                            <a:picLocks noChangeAspect="1"/>
                          </pic:cNvPicPr>
                        </pic:nvPicPr>
                        <pic:blipFill>
                          <a:blip r:embed="rId34" cstate="print"/>
                          <a:stretch>
                            <a:fillRect/>
                          </a:stretch>
                        </pic:blipFill>
                        <pic:spPr>
                          <a:xfrm>
                            <a:off x="0" y="0"/>
                            <a:ext cx="1130300" cy="993140"/>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2000*1000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实木</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1.整体采用进口实木，床板下设5根加粗横梁，防止变形、下沉。                                            2.▲油漆面漆：采用优质环保漆，品牌不低于华润、多乐士、嘉宝莉，符合GB 18581-2009《室内装饰装修材料 溶剂型木器涂料中有害物质限量》标准，挥发性有机化合物含量≤670g/L，苯含量≤0.3%，甲苯、二甲苯、乙苯含量总和≤30%，游离二异氰酸酯含量总和≤0.4%，卤代烃含量≤0.1%。3.▲油漆底漆：采用优质环保漆，符合GB 18581-2009《室内装饰装修材料 溶剂型木器涂料中有害物质限量》标准，挥发性有机化合物含量≤670g/L，苯含量≤0.3%，甲苯、二甲苯、乙苯含量总和≤30%，游离二异氰酸酯含量总和≤0.4%，卤代烃含量≤0.1%。          4.▲胶水（白乳胶）：GB 18583-2008《室内装饰装修材料胶粘剂中有害物质限量》检测要求：游离甲醛≤0.05g/kg，苯≤0.01g/kg，甲苯+二甲苯≤0.04g/kg，总挥发性有机物≤110g/L。外观简洁美观，打磨精细，无毛刺，无明显结巴影响外观。</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3"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27</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三层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宿舍上下床</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963930" cy="1297305"/>
                  <wp:effectExtent l="0" t="0" r="7620" b="17145"/>
                  <wp:docPr id="168182"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2" name="图片 44"/>
                          <pic:cNvPicPr>
                            <a:picLocks noChangeAspect="1"/>
                          </pic:cNvPicPr>
                        </pic:nvPicPr>
                        <pic:blipFill>
                          <a:blip r:embed="rId35" cstate="print"/>
                          <a:stretch>
                            <a:fillRect/>
                          </a:stretch>
                        </pic:blipFill>
                        <pic:spPr>
                          <a:xfrm>
                            <a:off x="0" y="0"/>
                            <a:ext cx="963930" cy="1297305"/>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2000*1000</w:t>
            </w:r>
          </w:p>
        </w:tc>
        <w:tc>
          <w:tcPr>
            <w:tcW w:w="709"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实木</w:t>
            </w:r>
          </w:p>
        </w:tc>
        <w:tc>
          <w:tcPr>
            <w:tcW w:w="7796" w:type="dxa"/>
            <w:shd w:val="clear" w:color="000000" w:fill="FFFFFF"/>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color w:val="000000"/>
                <w:kern w:val="0"/>
                <w:szCs w:val="21"/>
              </w:rPr>
              <w:t>1.整体采用进口实木，立柱采用</w:t>
            </w:r>
            <w:r>
              <w:rPr>
                <w:rFonts w:hint="eastAsia" w:cs="宋体" w:asciiTheme="majorEastAsia" w:hAnsiTheme="majorEastAsia" w:eastAsiaTheme="majorEastAsia"/>
                <w:kern w:val="0"/>
                <w:szCs w:val="21"/>
              </w:rPr>
              <w:t>≥</w:t>
            </w:r>
            <w:r>
              <w:rPr>
                <w:rFonts w:hint="eastAsia" w:cs="宋体" w:asciiTheme="majorEastAsia" w:hAnsiTheme="majorEastAsia" w:eastAsiaTheme="majorEastAsia"/>
                <w:color w:val="000000"/>
                <w:kern w:val="0"/>
                <w:szCs w:val="21"/>
              </w:rPr>
              <w:t>60*60MM加粗立柱，床板下设6根加粗横梁，防止变形、下沉。                                            2.▲油漆面漆：采用优质环保漆，品牌不低于华润、多乐士、嘉宝莉，符合GB 18581-2009《室内装饰装修材料 溶剂型木器涂料中有害物质限量》标准，挥发性有机化合物含量≤670g/L，苯含量≤0.3%，甲苯、二甲苯、乙苯含量总和≤30%，游离二异氰酸酯含量总和≤0.4%，卤代烃含量≤0.1%。3.▲油漆底漆：采用优质环保漆，符合GB 18581-2009《室内装饰装修材料 溶剂型木器涂料中有害物质限量》标准，挥发性有机化合物含量≤670g/L，苯含量≤0.3%，甲苯、二甲苯、乙苯含量总和≤30%，游离二异氰酸酯含量总和≤0.4%，卤代烃含量≤0.1%。          4.▲胶水（白乳胶）：GB 18583-2008《室内装饰装修材料胶粘剂中有害物质限量》检测要求：游离甲醛≤0.05g/kg，苯≤0.01g/kg，甲苯+二甲苯≤0.04g/kg，总挥发性有机物≤110g/L。外观简洁美观，打磨精细，无毛刺，无明显结巴影响外观。</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555" w:type="dxa"/>
            <w:shd w:val="clear" w:color="auto" w:fill="auto"/>
            <w:noWrap/>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28</w:t>
            </w:r>
          </w:p>
        </w:tc>
        <w:tc>
          <w:tcPr>
            <w:tcW w:w="910"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三层</w:t>
            </w:r>
          </w:p>
        </w:tc>
        <w:tc>
          <w:tcPr>
            <w:tcW w:w="995"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淋浴室（男）更衣柜</w:t>
            </w:r>
          </w:p>
        </w:tc>
        <w:tc>
          <w:tcPr>
            <w:tcW w:w="2215"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asciiTheme="majorEastAsia" w:hAnsiTheme="majorEastAsia" w:eastAsiaTheme="majorEastAsia"/>
                <w:szCs w:val="21"/>
              </w:rPr>
              <w:drawing>
                <wp:inline distT="0" distB="0" distL="114300" distR="114300">
                  <wp:extent cx="911225" cy="1156335"/>
                  <wp:effectExtent l="0" t="0" r="3175" b="5715"/>
                  <wp:docPr id="16818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5" name="图片 50"/>
                          <pic:cNvPicPr>
                            <a:picLocks noChangeAspect="1"/>
                          </pic:cNvPicPr>
                        </pic:nvPicPr>
                        <pic:blipFill>
                          <a:blip r:embed="rId36" cstate="print"/>
                          <a:stretch>
                            <a:fillRect/>
                          </a:stretch>
                        </pic:blipFill>
                        <pic:spPr>
                          <a:xfrm>
                            <a:off x="0" y="0"/>
                            <a:ext cx="911225" cy="1156335"/>
                          </a:xfrm>
                          <a:prstGeom prst="rect">
                            <a:avLst/>
                          </a:prstGeom>
                          <a:noFill/>
                          <a:ln w="9525">
                            <a:noFill/>
                          </a:ln>
                        </pic:spPr>
                      </pic:pic>
                    </a:graphicData>
                  </a:graphic>
                </wp:inline>
              </w:drawing>
            </w:r>
          </w:p>
        </w:tc>
        <w:tc>
          <w:tcPr>
            <w:tcW w:w="1132" w:type="dxa"/>
            <w:shd w:val="clear" w:color="auto" w:fill="auto"/>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900*420*1800</w:t>
            </w:r>
          </w:p>
        </w:tc>
        <w:tc>
          <w:tcPr>
            <w:tcW w:w="709" w:type="dxa"/>
            <w:shd w:val="clear" w:color="auto" w:fill="auto"/>
            <w:vAlign w:val="center"/>
          </w:tcPr>
          <w:p>
            <w:pPr>
              <w:widowControl/>
              <w:spacing w:line="0" w:lineRule="atLeast"/>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钢制</w:t>
            </w:r>
          </w:p>
        </w:tc>
        <w:tc>
          <w:tcPr>
            <w:tcW w:w="7796" w:type="dxa"/>
            <w:shd w:val="clear" w:color="000000" w:fill="FFFFFF"/>
            <w:vAlign w:val="center"/>
          </w:tcPr>
          <w:p>
            <w:pPr>
              <w:widowControl/>
              <w:jc w:val="center"/>
              <w:textAlignment w:val="center"/>
              <w:rPr>
                <w:rFonts w:cs="宋体" w:asciiTheme="majorEastAsia" w:hAnsiTheme="majorEastAsia" w:eastAsiaTheme="majorEastAsia"/>
                <w:color w:val="000000"/>
                <w:szCs w:val="21"/>
              </w:rPr>
            </w:pPr>
            <w:r>
              <w:rPr>
                <w:rFonts w:hint="eastAsia" w:cs="宋体" w:asciiTheme="majorEastAsia" w:hAnsiTheme="majorEastAsia" w:eastAsiaTheme="majorEastAsia"/>
                <w:color w:val="000000"/>
                <w:kern w:val="0"/>
                <w:szCs w:val="21"/>
              </w:rPr>
              <w:t>1、材质：优质一级冷轧镀锌钢板，面板厚度≥0.8mm。2、工艺：本体一体折弯，表面无焊点，内附棚板且棚板高度可调节，无损。3、表面处理：整个柜体采用自动流水线，柜体表面经磷化液酸洗、磷化处理，表面采用高强度、耐酸碱、抗老化，优质环氧树脂塑粉静电喷塑处理。4、内置上 1 铝合金挂衣杆、下 1 层板、钢制内嵌拉手、功能锁具、透气风窗、塑料标签框。</w:t>
            </w:r>
          </w:p>
        </w:tc>
        <w:tc>
          <w:tcPr>
            <w:tcW w:w="567" w:type="dxa"/>
            <w:shd w:val="clear" w:color="auto" w:fill="auto"/>
            <w:vAlign w:val="center"/>
          </w:tcPr>
          <w:p>
            <w:pPr>
              <w:widowControl/>
              <w:spacing w:line="0" w:lineRule="atLeast"/>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2</w:t>
            </w:r>
          </w:p>
        </w:tc>
      </w:tr>
    </w:tbl>
    <w:p>
      <w:pPr>
        <w:tabs>
          <w:tab w:val="left" w:pos="753"/>
        </w:tabs>
        <w:spacing w:line="400" w:lineRule="exact"/>
        <w:textAlignment w:val="center"/>
        <w:rPr>
          <w:rFonts w:ascii="宋体" w:hAnsi="宋体"/>
          <w:bCs/>
          <w:sz w:val="24"/>
          <w:szCs w:val="24"/>
        </w:rPr>
      </w:pPr>
      <w:r>
        <w:rPr>
          <w:rFonts w:hint="eastAsia" w:ascii="宋体" w:hAnsi="宋体"/>
          <w:bCs/>
          <w:sz w:val="24"/>
          <w:szCs w:val="24"/>
        </w:rPr>
        <w:t>注：（1）以上参数仅供参考，投标人可选用相当于或优于以上技术要求的产品，同时填写技术规范偏离表。</w:t>
      </w:r>
    </w:p>
    <w:p>
      <w:pPr>
        <w:tabs>
          <w:tab w:val="left" w:pos="753"/>
        </w:tabs>
        <w:spacing w:line="400" w:lineRule="exact"/>
        <w:ind w:firstLine="480" w:firstLineChars="200"/>
        <w:textAlignment w:val="center"/>
        <w:rPr>
          <w:rFonts w:ascii="宋体" w:hAnsi="宋体"/>
          <w:bCs/>
          <w:color w:val="auto"/>
          <w:sz w:val="24"/>
          <w:szCs w:val="24"/>
          <w:highlight w:val="red"/>
        </w:rPr>
      </w:pPr>
      <w:r>
        <w:rPr>
          <w:rFonts w:hint="eastAsia" w:ascii="宋体" w:hAnsi="宋体"/>
          <w:bCs/>
          <w:color w:val="auto"/>
          <w:sz w:val="24"/>
          <w:szCs w:val="24"/>
          <w:highlight w:val="red"/>
        </w:rPr>
        <w:t>（2）采购货物清单具体数量以中标后现场核准数量为准。计价单位以中标后单价为准。</w:t>
      </w:r>
    </w:p>
    <w:p>
      <w:pPr>
        <w:tabs>
          <w:tab w:val="left" w:pos="753"/>
        </w:tabs>
        <w:spacing w:line="400" w:lineRule="exact"/>
        <w:ind w:firstLine="480" w:firstLineChars="200"/>
        <w:textAlignment w:val="center"/>
        <w:rPr>
          <w:rFonts w:ascii="宋体" w:hAnsi="宋体"/>
          <w:bCs/>
          <w:sz w:val="24"/>
          <w:szCs w:val="24"/>
        </w:rPr>
      </w:pPr>
      <w:r>
        <w:rPr>
          <w:rFonts w:hint="eastAsia" w:ascii="宋体" w:hAnsi="宋体"/>
          <w:bCs/>
          <w:sz w:val="24"/>
          <w:szCs w:val="24"/>
        </w:rPr>
        <w:t>（3）本项目不接受进口产品投标，进口产品是指通过中国海关报关验放进入中国境内且产自关境外的产品。</w:t>
      </w:r>
    </w:p>
    <w:p>
      <w:pPr>
        <w:spacing w:line="400" w:lineRule="exact"/>
        <w:ind w:firstLine="480" w:firstLineChars="200"/>
        <w:rPr>
          <w:rFonts w:ascii="宋体" w:hAnsi="宋体"/>
          <w:bCs/>
          <w:sz w:val="24"/>
          <w:szCs w:val="24"/>
        </w:rPr>
      </w:pPr>
      <w:r>
        <w:rPr>
          <w:rFonts w:hint="eastAsia" w:ascii="宋体" w:hAnsi="宋体"/>
          <w:bCs/>
          <w:sz w:val="24"/>
          <w:szCs w:val="24"/>
        </w:rPr>
        <w:t>（</w:t>
      </w:r>
      <w:r>
        <w:rPr>
          <w:rFonts w:ascii="宋体" w:hAnsi="宋体"/>
          <w:bCs/>
          <w:sz w:val="24"/>
          <w:szCs w:val="24"/>
        </w:rPr>
        <w:t>4</w:t>
      </w:r>
      <w:r>
        <w:rPr>
          <w:rFonts w:hint="eastAsia" w:ascii="宋体" w:hAnsi="宋体"/>
          <w:bCs/>
          <w:sz w:val="24"/>
          <w:szCs w:val="24"/>
        </w:rPr>
        <w:t>）投标人所提供的货物应不存在任何权利上的瑕疵，保证采购人使用该货物或货物的任何一部分时，免受第三方提出的侵犯其专利权、商标权、著作权或其它知识产权的起诉，其货物的销售和使用不侵犯第三人合法权益。任何第三方如果提出侵权指控，投标人需与第三方交涉并承担由此引起的一切法律责任和费用。</w:t>
      </w:r>
    </w:p>
    <w:p>
      <w:pPr>
        <w:spacing w:line="400" w:lineRule="exact"/>
        <w:ind w:firstLine="480" w:firstLineChars="200"/>
        <w:rPr>
          <w:rFonts w:ascii="宋体" w:hAnsi="宋体"/>
          <w:b/>
          <w:sz w:val="24"/>
          <w:szCs w:val="24"/>
          <w:highlight w:val="yellow"/>
        </w:rPr>
      </w:pPr>
      <w:r>
        <w:rPr>
          <w:rFonts w:hint="eastAsia" w:ascii="宋体" w:hAnsi="宋体"/>
          <w:b/>
          <w:sz w:val="24"/>
        </w:rPr>
        <w:t>（</w:t>
      </w:r>
      <w:r>
        <w:rPr>
          <w:rFonts w:ascii="宋体" w:hAnsi="宋体"/>
          <w:b/>
          <w:sz w:val="24"/>
        </w:rPr>
        <w:t>5</w:t>
      </w:r>
      <w:r>
        <w:rPr>
          <w:rFonts w:hint="eastAsia" w:ascii="宋体" w:hAnsi="宋体"/>
          <w:b/>
          <w:sz w:val="24"/>
        </w:rPr>
        <w:t>）投标人应在投标截止时间前提供以下样品（已标注※）：</w:t>
      </w:r>
      <w:r>
        <w:rPr>
          <w:rFonts w:hint="eastAsia" w:ascii="宋体" w:hAnsi="宋体"/>
          <w:b/>
          <w:sz w:val="24"/>
          <w:highlight w:val="yellow"/>
        </w:rPr>
        <w:t>①第17项 宿舍衣柜300*300原木色切角样块一块、②第18项 宿舍上下床立柱样品300MM长一根、③第25项 宿舍书桌椅一把，</w:t>
      </w:r>
      <w:r>
        <w:rPr>
          <w:rFonts w:hint="eastAsia" w:ascii="宋体" w:hAnsi="宋体"/>
          <w:b/>
          <w:sz w:val="24"/>
          <w:szCs w:val="24"/>
          <w:highlight w:val="yellow"/>
        </w:rPr>
        <w:t>详细要求见上表备注。</w:t>
      </w:r>
    </w:p>
    <w:p>
      <w:pPr>
        <w:spacing w:line="400" w:lineRule="exact"/>
        <w:ind w:firstLine="470" w:firstLineChars="196"/>
        <w:rPr>
          <w:rFonts w:ascii="宋体" w:hAnsi="宋体"/>
          <w:b/>
          <w:sz w:val="24"/>
          <w:highlight w:val="green"/>
        </w:rPr>
      </w:pPr>
      <w:r>
        <w:rPr>
          <w:rFonts w:ascii="宋体" w:hAnsi="宋体"/>
          <w:b/>
          <w:sz w:val="24"/>
          <w:highlight w:val="green"/>
        </w:rPr>
        <w:t>1</w:t>
      </w:r>
      <w:r>
        <w:rPr>
          <w:rFonts w:hint="eastAsia" w:ascii="宋体" w:hAnsi="宋体"/>
          <w:b/>
          <w:sz w:val="24"/>
          <w:highlight w:val="green"/>
        </w:rPr>
        <w:t>）样品必须在递交投标文件截止时间前放置于招标代理指定地点，且不得出现任何投标人的标识。</w:t>
      </w:r>
    </w:p>
    <w:p>
      <w:pPr>
        <w:spacing w:line="400" w:lineRule="exact"/>
        <w:ind w:firstLine="480" w:firstLineChars="200"/>
        <w:rPr>
          <w:rFonts w:ascii="宋体" w:hAnsi="宋体"/>
          <w:b/>
          <w:sz w:val="24"/>
        </w:rPr>
      </w:pPr>
      <w:r>
        <w:rPr>
          <w:rFonts w:ascii="宋体" w:hAnsi="宋体"/>
          <w:b/>
          <w:sz w:val="24"/>
          <w:highlight w:val="green"/>
        </w:rPr>
        <w:t>2</w:t>
      </w:r>
      <w:r>
        <w:rPr>
          <w:rFonts w:hint="eastAsia" w:ascii="宋体" w:hAnsi="宋体"/>
          <w:b/>
          <w:sz w:val="24"/>
          <w:highlight w:val="green"/>
        </w:rPr>
        <w:t>）评标结束后，中标人的样品按招标人要求在指定地点封存，未中标的投标人样品由投标人自行运回。</w:t>
      </w:r>
    </w:p>
    <w:p>
      <w:pPr>
        <w:spacing w:line="400" w:lineRule="exact"/>
        <w:ind w:firstLine="480" w:firstLineChars="200"/>
      </w:pPr>
      <w:r>
        <w:rPr>
          <w:rFonts w:hint="eastAsia" w:ascii="宋体" w:hAnsi="宋体"/>
          <w:bCs/>
          <w:sz w:val="24"/>
        </w:rPr>
        <w:t>（</w:t>
      </w:r>
      <w:r>
        <w:rPr>
          <w:rFonts w:ascii="宋体" w:hAnsi="宋体"/>
          <w:bCs/>
          <w:sz w:val="24"/>
        </w:rPr>
        <w:t>6</w:t>
      </w:r>
      <w:r>
        <w:rPr>
          <w:rFonts w:hint="eastAsia" w:ascii="宋体" w:hAnsi="宋体"/>
          <w:bCs/>
          <w:sz w:val="24"/>
        </w:rPr>
        <w:t>）以上图片仅供参考</w:t>
      </w:r>
    </w:p>
    <w:p>
      <w:pPr>
        <w:widowControl/>
        <w:shd w:val="clear" w:color="auto" w:fill="FFFFFF"/>
        <w:spacing w:after="120" w:line="362" w:lineRule="atLeast"/>
        <w:rPr>
          <w:rFonts w:ascii="宋体" w:hAnsi="宋体" w:eastAsia="宋体" w:cs="宋体"/>
          <w:b/>
          <w:bCs/>
          <w:color w:val="000000"/>
          <w:kern w:val="0"/>
          <w:sz w:val="32"/>
          <w:szCs w:val="32"/>
        </w:rPr>
      </w:pPr>
    </w:p>
    <w:p>
      <w:pPr>
        <w:widowControl/>
        <w:shd w:val="clear" w:color="auto" w:fill="FFFFFF"/>
        <w:spacing w:after="120" w:line="362" w:lineRule="atLeast"/>
        <w:rPr>
          <w:rFonts w:ascii="宋体" w:hAnsi="宋体" w:eastAsia="宋体" w:cs="宋体"/>
          <w:b/>
          <w:bCs/>
          <w:color w:val="000000"/>
          <w:kern w:val="0"/>
          <w:sz w:val="32"/>
          <w:szCs w:val="32"/>
        </w:rPr>
      </w:pPr>
      <w:bookmarkStart w:id="5" w:name="_GoBack"/>
      <w:bookmarkEnd w:id="5"/>
    </w:p>
    <w:p>
      <w:pPr>
        <w:widowControl/>
        <w:shd w:val="clear" w:color="auto" w:fill="FFFFFF"/>
        <w:spacing w:after="120" w:line="362" w:lineRule="atLeast"/>
        <w:jc w:val="left"/>
        <w:rPr>
          <w:rFonts w:ascii="宋体" w:hAnsi="宋体" w:eastAsia="宋体" w:cs="宋体"/>
          <w:b/>
          <w:bCs/>
          <w:color w:val="000000"/>
          <w:kern w:val="0"/>
          <w:sz w:val="32"/>
          <w:szCs w:val="32"/>
        </w:rPr>
      </w:pPr>
    </w:p>
    <w:p>
      <w:pPr>
        <w:widowControl/>
        <w:shd w:val="clear" w:color="auto" w:fill="FFFFFF"/>
        <w:spacing w:after="120" w:line="362" w:lineRule="atLeast"/>
        <w:jc w:val="left"/>
        <w:rPr>
          <w:rFonts w:ascii="宋体" w:hAnsi="宋体" w:eastAsia="宋体" w:cs="宋体"/>
          <w:b/>
          <w:bCs/>
          <w:color w:val="000000"/>
          <w:kern w:val="0"/>
          <w:sz w:val="32"/>
          <w:szCs w:val="32"/>
        </w:rPr>
        <w:sectPr>
          <w:pgSz w:w="16838" w:h="11906" w:orient="landscape"/>
          <w:pgMar w:top="1440" w:right="1797" w:bottom="1440" w:left="1797" w:header="851" w:footer="992" w:gutter="0"/>
          <w:cols w:space="425" w:num="1"/>
          <w:docGrid w:type="linesAndChars" w:linePitch="312" w:charSpace="0"/>
        </w:sectPr>
      </w:pPr>
    </w:p>
    <w:p>
      <w:pPr>
        <w:widowControl/>
        <w:shd w:val="clear" w:color="auto" w:fill="FFFFFF"/>
        <w:spacing w:after="120" w:line="362" w:lineRule="atLeast"/>
        <w:ind w:firstLine="3373" w:firstLineChars="1050"/>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tbl>
      <w:tblPr>
        <w:tblStyle w:val="18"/>
        <w:tblpPr w:leftFromText="180" w:rightFromText="180" w:vertAnchor="text" w:horzAnchor="margin" w:tblpXSpec="center" w:tblpY="278"/>
        <w:tblW w:w="9783" w:type="dxa"/>
        <w:tblInd w:w="0" w:type="dxa"/>
        <w:shd w:val="clear" w:color="auto" w:fill="FFFFFF"/>
        <w:tblLayout w:type="autofit"/>
        <w:tblCellMar>
          <w:top w:w="0" w:type="dxa"/>
          <w:left w:w="0" w:type="dxa"/>
          <w:bottom w:w="0" w:type="dxa"/>
          <w:right w:w="0" w:type="dxa"/>
        </w:tblCellMar>
      </w:tblPr>
      <w:tblGrid>
        <w:gridCol w:w="904"/>
        <w:gridCol w:w="905"/>
        <w:gridCol w:w="1985"/>
        <w:gridCol w:w="1701"/>
        <w:gridCol w:w="1417"/>
        <w:gridCol w:w="2122"/>
        <w:gridCol w:w="749"/>
      </w:tblGrid>
      <w:tr>
        <w:tblPrEx>
          <w:shd w:val="clear" w:color="auto" w:fill="FFFFFF"/>
          <w:tblCellMar>
            <w:top w:w="0" w:type="dxa"/>
            <w:left w:w="0" w:type="dxa"/>
            <w:bottom w:w="0" w:type="dxa"/>
            <w:right w:w="0" w:type="dxa"/>
          </w:tblCellMar>
        </w:tblPrEx>
        <w:trPr>
          <w:trHeight w:val="454" w:hRule="atLeast"/>
        </w:trPr>
        <w:tc>
          <w:tcPr>
            <w:tcW w:w="1809" w:type="dxa"/>
            <w:gridSpan w:val="2"/>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7974"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54" w:hRule="atLeast"/>
        </w:trPr>
        <w:tc>
          <w:tcPr>
            <w:tcW w:w="1809"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7974"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54" w:hRule="atLeast"/>
        </w:trPr>
        <w:tc>
          <w:tcPr>
            <w:tcW w:w="1809"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7974"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6400" w:firstLineChars="3200"/>
              <w:jc w:val="lef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序号</w:t>
            </w:r>
          </w:p>
        </w:tc>
        <w:tc>
          <w:tcPr>
            <w:tcW w:w="905" w:type="dxa"/>
            <w:tcBorders>
              <w:top w:val="nil"/>
              <w:left w:val="single" w:color="auto" w:sz="8" w:space="0"/>
              <w:bottom w:val="single" w:color="auto" w:sz="8" w:space="0"/>
              <w:right w:val="single" w:color="auto" w:sz="8" w:space="0"/>
            </w:tcBorders>
            <w:shd w:val="clear" w:color="auto" w:fill="FFFFFF"/>
            <w:vAlign w:val="center"/>
          </w:tcPr>
          <w:p>
            <w:pPr>
              <w:jc w:val="center"/>
              <w:rPr>
                <w:rFonts w:ascii="宋体" w:hAnsi="宋体" w:eastAsia="宋体" w:cs="宋体"/>
                <w:color w:val="000000"/>
                <w:sz w:val="20"/>
                <w:szCs w:val="20"/>
              </w:rPr>
            </w:pPr>
            <w:r>
              <w:rPr>
                <w:rFonts w:hint="eastAsia"/>
                <w:color w:val="000000"/>
                <w:sz w:val="20"/>
                <w:szCs w:val="20"/>
              </w:rPr>
              <w:t>楼层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名称</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数量</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单价</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总价</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备注</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餐厅餐桌椅</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34</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bCs/>
                <w:color w:val="000000"/>
                <w:sz w:val="20"/>
                <w:szCs w:val="20"/>
              </w:rPr>
            </w:pPr>
            <w:r>
              <w:rPr>
                <w:rFonts w:hint="eastAsia"/>
                <w:bCs/>
                <w:color w:val="000000"/>
                <w:sz w:val="20"/>
                <w:szCs w:val="20"/>
              </w:rPr>
              <w:t>2</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bCs/>
                <w:color w:val="000000"/>
                <w:sz w:val="20"/>
                <w:szCs w:val="20"/>
              </w:rPr>
            </w:pPr>
            <w:r>
              <w:rPr>
                <w:rFonts w:hint="eastAsia"/>
                <w:bCs/>
                <w:color w:val="000000"/>
                <w:sz w:val="20"/>
                <w:szCs w:val="20"/>
              </w:rPr>
              <w:t>小包间餐桌</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3</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大包间餐桌</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4</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包间餐椅</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16</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5</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大包间双人沙发</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6</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大包间方几</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7</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超市收银台</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8</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超市收银台办公椅</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9</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超市高货架</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10</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超市高货架</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11</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超市双面矮货架</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12</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餐厅办公室双人位办公桌</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13</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餐厅办公室办公椅</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14</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一层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餐厅临时衣帽间</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4</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15</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二层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宿舍书桌</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45</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16</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二层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宿舍书桌椅、活动室休闲椅</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49</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17</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二层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b/>
                <w:bCs/>
                <w:color w:val="000000"/>
                <w:sz w:val="20"/>
                <w:szCs w:val="20"/>
              </w:rPr>
            </w:pPr>
            <w:r>
              <w:rPr>
                <w:rFonts w:hint="eastAsia"/>
                <w:b/>
                <w:bCs/>
                <w:color w:val="000000"/>
                <w:sz w:val="20"/>
                <w:szCs w:val="20"/>
              </w:rPr>
              <w:t>※</w:t>
            </w:r>
            <w:r>
              <w:rPr>
                <w:rFonts w:hint="eastAsia"/>
                <w:color w:val="000000"/>
                <w:sz w:val="20"/>
                <w:szCs w:val="20"/>
              </w:rPr>
              <w:t>宿舍衣柜</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35</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18</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二层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b/>
                <w:bCs/>
                <w:color w:val="000000"/>
                <w:sz w:val="20"/>
                <w:szCs w:val="20"/>
              </w:rPr>
            </w:pPr>
            <w:r>
              <w:rPr>
                <w:rFonts w:hint="eastAsia"/>
                <w:b/>
                <w:bCs/>
                <w:color w:val="000000"/>
                <w:sz w:val="20"/>
                <w:szCs w:val="20"/>
              </w:rPr>
              <w:t>※</w:t>
            </w:r>
            <w:r>
              <w:rPr>
                <w:rFonts w:hint="eastAsia"/>
                <w:color w:val="000000"/>
                <w:sz w:val="20"/>
                <w:szCs w:val="20"/>
              </w:rPr>
              <w:t>宿舍上下床</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50</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19</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二层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淋浴室（男）更衣柜</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20</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二层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宿管员休息间单人床</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序号</w:t>
            </w:r>
          </w:p>
        </w:tc>
        <w:tc>
          <w:tcPr>
            <w:tcW w:w="905" w:type="dxa"/>
            <w:tcBorders>
              <w:top w:val="nil"/>
              <w:left w:val="single" w:color="auto" w:sz="8" w:space="0"/>
              <w:bottom w:val="single" w:color="auto" w:sz="8" w:space="0"/>
              <w:right w:val="single" w:color="auto" w:sz="8" w:space="0"/>
            </w:tcBorders>
            <w:shd w:val="clear" w:color="auto" w:fill="FFFFFF"/>
            <w:vAlign w:val="center"/>
          </w:tcPr>
          <w:p>
            <w:pPr>
              <w:jc w:val="center"/>
              <w:rPr>
                <w:rFonts w:ascii="宋体" w:hAnsi="宋体" w:eastAsia="宋体" w:cs="宋体"/>
                <w:color w:val="000000"/>
                <w:sz w:val="20"/>
                <w:szCs w:val="20"/>
              </w:rPr>
            </w:pPr>
            <w:r>
              <w:rPr>
                <w:rFonts w:hint="eastAsia"/>
                <w:color w:val="000000"/>
                <w:sz w:val="20"/>
                <w:szCs w:val="20"/>
              </w:rPr>
              <w:t>楼层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名称</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数量</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单价</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总价</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备注</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21</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二层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宿管员休息间床头柜</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22</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三层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宿舍衣柜</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31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23</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三层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宿舍衣柜（五门衣柜）</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5</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24</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三层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宿舍书桌</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52</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25</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三层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b/>
                <w:bCs/>
                <w:color w:val="000000"/>
                <w:sz w:val="20"/>
                <w:szCs w:val="20"/>
              </w:rPr>
            </w:pPr>
            <w:r>
              <w:rPr>
                <w:rFonts w:hint="eastAsia"/>
                <w:b/>
                <w:bCs/>
                <w:color w:val="000000"/>
                <w:sz w:val="20"/>
                <w:szCs w:val="20"/>
              </w:rPr>
              <w:t>※</w:t>
            </w:r>
            <w:r>
              <w:rPr>
                <w:rFonts w:hint="eastAsia"/>
                <w:color w:val="000000"/>
                <w:sz w:val="20"/>
                <w:szCs w:val="20"/>
              </w:rPr>
              <w:t>宿舍书桌椅</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52</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26</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三层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宿舍单人床</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1</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27</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三层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宿舍上下床</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48</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0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28</w:t>
            </w:r>
          </w:p>
        </w:tc>
        <w:tc>
          <w:tcPr>
            <w:tcW w:w="905" w:type="dxa"/>
            <w:tcBorders>
              <w:top w:val="nil"/>
              <w:left w:val="single" w:color="auto" w:sz="8" w:space="0"/>
              <w:bottom w:val="single" w:color="auto" w:sz="8" w:space="0"/>
              <w:right w:val="single" w:color="auto" w:sz="8" w:space="0"/>
            </w:tcBorders>
            <w:shd w:val="clear" w:color="auto" w:fill="FFFFFF"/>
            <w:vAlign w:val="center"/>
          </w:tcPr>
          <w:p>
            <w:pPr>
              <w:rPr>
                <w:rFonts w:ascii="宋体" w:hAnsi="宋体" w:eastAsia="宋体" w:cs="宋体"/>
                <w:color w:val="000000"/>
                <w:sz w:val="20"/>
                <w:szCs w:val="20"/>
              </w:rPr>
            </w:pPr>
            <w:r>
              <w:rPr>
                <w:rFonts w:hint="eastAsia"/>
                <w:color w:val="000000"/>
                <w:sz w:val="20"/>
                <w:szCs w:val="20"/>
              </w:rPr>
              <w:t>三层</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淋浴室（男）更衣柜</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宋体" w:hAnsi="宋体" w:eastAsia="宋体" w:cs="宋体"/>
                <w:color w:val="000000"/>
                <w:sz w:val="20"/>
                <w:szCs w:val="20"/>
              </w:rPr>
            </w:pPr>
            <w:r>
              <w:rPr>
                <w:rFonts w:hint="eastAsia"/>
                <w:color w:val="000000"/>
                <w:sz w:val="20"/>
                <w:szCs w:val="20"/>
              </w:rPr>
              <w:t>2</w:t>
            </w:r>
          </w:p>
        </w:tc>
        <w:tc>
          <w:tcPr>
            <w:tcW w:w="14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21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c>
          <w:tcPr>
            <w:tcW w:w="7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rPr>
                <w:rFonts w:ascii="宋体" w:hAnsi="宋体" w:eastAsia="宋体" w:cs="宋体"/>
                <w:color w:val="000000"/>
                <w:sz w:val="20"/>
                <w:szCs w:val="20"/>
              </w:rPr>
            </w:pPr>
            <w:r>
              <w:rPr>
                <w:rFonts w:hint="eastAsia"/>
                <w:color w:val="000000"/>
                <w:sz w:val="20"/>
                <w:szCs w:val="20"/>
              </w:rPr>
              <w:t>　</w:t>
            </w:r>
          </w:p>
        </w:tc>
      </w:tr>
      <w:tr>
        <w:tblPrEx>
          <w:shd w:val="clear" w:color="auto" w:fill="FFFFFF"/>
          <w:tblCellMar>
            <w:top w:w="0" w:type="dxa"/>
            <w:left w:w="0" w:type="dxa"/>
            <w:bottom w:w="0" w:type="dxa"/>
            <w:right w:w="0" w:type="dxa"/>
          </w:tblCellMar>
        </w:tblPrEx>
        <w:trPr>
          <w:trHeight w:val="454" w:hRule="atLeast"/>
        </w:trPr>
        <w:tc>
          <w:tcPr>
            <w:tcW w:w="9783"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rPr>
          <w:trHeight w:val="454" w:hRule="atLeast"/>
        </w:trPr>
        <w:tc>
          <w:tcPr>
            <w:tcW w:w="1809" w:type="dxa"/>
            <w:gridSpan w:val="2"/>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color w:val="000000"/>
                <w:kern w:val="0"/>
                <w:sz w:val="20"/>
                <w:szCs w:val="20"/>
              </w:rPr>
              <w:t>施工周期</w:t>
            </w:r>
          </w:p>
        </w:tc>
        <w:tc>
          <w:tcPr>
            <w:tcW w:w="7974" w:type="dxa"/>
            <w:gridSpan w:val="5"/>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ascii="Calibri" w:hAnsi="Calibri" w:eastAsia="微软雅黑" w:cs="宋体"/>
                <w:color w:val="000000"/>
                <w:kern w:val="0"/>
                <w:szCs w:val="21"/>
              </w:rPr>
            </w:pPr>
            <w:r>
              <w:rPr>
                <w:rFonts w:hint="eastAsia" w:ascii="Calibri" w:hAnsi="Calibri" w:eastAsia="微软雅黑" w:cs="宋体"/>
                <w:color w:val="000000"/>
                <w:kern w:val="0"/>
                <w:szCs w:val="21"/>
              </w:rPr>
              <w:t>50天</w:t>
            </w:r>
          </w:p>
        </w:tc>
      </w:tr>
      <w:tr>
        <w:tblPrEx>
          <w:shd w:val="clear" w:color="auto" w:fill="FFFFFF"/>
          <w:tblCellMar>
            <w:top w:w="0" w:type="dxa"/>
            <w:left w:w="0" w:type="dxa"/>
            <w:bottom w:w="0" w:type="dxa"/>
            <w:right w:w="0" w:type="dxa"/>
          </w:tblCellMar>
        </w:tblPrEx>
        <w:trPr>
          <w:trHeight w:val="454" w:hRule="atLeast"/>
        </w:trPr>
        <w:tc>
          <w:tcPr>
            <w:tcW w:w="9783" w:type="dxa"/>
            <w:gridSpan w:val="7"/>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pPr>
              <w:spacing w:line="360" w:lineRule="auto"/>
              <w:ind w:left="73" w:leftChars="35"/>
              <w:jc w:val="left"/>
              <w:rPr>
                <w:rFonts w:ascii="宋体" w:hAnsi="宋体" w:eastAsia="宋体" w:cs="宋体"/>
                <w:color w:val="000000"/>
                <w:kern w:val="0"/>
                <w:sz w:val="20"/>
                <w:szCs w:val="20"/>
              </w:rPr>
            </w:pPr>
            <w:r>
              <w:rPr>
                <w:rFonts w:hint="eastAsia" w:ascii="宋体" w:hAnsi="宋体" w:eastAsia="宋体" w:cs="宋体"/>
                <w:color w:val="000000"/>
                <w:kern w:val="0"/>
                <w:sz w:val="24"/>
                <w:szCs w:val="24"/>
              </w:rPr>
              <w:t>付款方式：</w:t>
            </w:r>
            <w:r>
              <w:rPr>
                <w:rFonts w:hint="eastAsia" w:ascii="宋体" w:hAnsi="宋体" w:cs="宋体"/>
                <w:color w:val="000000"/>
                <w:kern w:val="0"/>
                <w:sz w:val="24"/>
                <w:szCs w:val="24"/>
              </w:rPr>
              <w:t>签订合同后支付4</w:t>
            </w:r>
            <w:r>
              <w:rPr>
                <w:rFonts w:ascii="宋体" w:hAnsi="宋体" w:cs="宋体"/>
                <w:color w:val="000000"/>
                <w:kern w:val="0"/>
                <w:sz w:val="24"/>
                <w:szCs w:val="24"/>
              </w:rPr>
              <w:t>0</w:t>
            </w:r>
            <w:r>
              <w:rPr>
                <w:rFonts w:hint="eastAsia" w:ascii="宋体" w:hAnsi="宋体" w:cs="宋体"/>
                <w:color w:val="000000"/>
                <w:kern w:val="0"/>
                <w:sz w:val="24"/>
                <w:szCs w:val="24"/>
              </w:rPr>
              <w:t>%，验收后支付5</w:t>
            </w:r>
            <w:r>
              <w:rPr>
                <w:rFonts w:ascii="宋体" w:hAnsi="宋体" w:cs="宋体"/>
                <w:color w:val="000000"/>
                <w:kern w:val="0"/>
                <w:sz w:val="24"/>
                <w:szCs w:val="24"/>
              </w:rPr>
              <w:t>5</w:t>
            </w:r>
            <w:r>
              <w:rPr>
                <w:rFonts w:hint="eastAsia" w:ascii="宋体" w:hAnsi="宋体" w:cs="宋体"/>
                <w:color w:val="000000"/>
                <w:kern w:val="0"/>
                <w:sz w:val="24"/>
                <w:szCs w:val="24"/>
              </w:rPr>
              <w:t>%剩余5</w:t>
            </w:r>
            <w:r>
              <w:rPr>
                <w:rFonts w:ascii="宋体" w:hAnsi="宋体" w:cs="宋体"/>
                <w:color w:val="000000"/>
                <w:kern w:val="0"/>
                <w:sz w:val="24"/>
                <w:szCs w:val="24"/>
              </w:rPr>
              <w:t>%</w:t>
            </w:r>
            <w:r>
              <w:rPr>
                <w:rFonts w:hint="eastAsia" w:ascii="宋体" w:hAnsi="宋体" w:cs="宋体"/>
                <w:color w:val="000000"/>
                <w:kern w:val="0"/>
                <w:sz w:val="24"/>
                <w:szCs w:val="24"/>
              </w:rPr>
              <w:t>质保金满一年后支付，其中50%的款项已银行电子承兑方式支付</w:t>
            </w:r>
          </w:p>
        </w:tc>
      </w:tr>
    </w:tbl>
    <w:p>
      <w:pPr>
        <w:widowControl/>
        <w:shd w:val="clear" w:color="auto" w:fill="FFFFFF"/>
        <w:spacing w:before="156" w:line="228" w:lineRule="atLeast"/>
        <w:jc w:val="left"/>
        <w:rPr>
          <w:rFonts w:cs="宋体"/>
          <w:b/>
          <w:kern w:val="0"/>
          <w:szCs w:val="21"/>
        </w:rPr>
      </w:pPr>
    </w:p>
    <w:p>
      <w:pPr>
        <w:widowControl/>
        <w:shd w:val="clear" w:color="auto" w:fill="FFFFFF"/>
        <w:spacing w:after="120" w:line="362" w:lineRule="atLeast"/>
        <w:jc w:val="left"/>
        <w:rPr>
          <w:rFonts w:ascii="Calibri" w:hAnsi="Calibri" w:eastAsia="宋体" w:cs="宋体"/>
          <w:b/>
          <w:kern w:val="0"/>
          <w:sz w:val="24"/>
          <w:szCs w:val="24"/>
          <w:highlight w:val="yellow"/>
        </w:rPr>
      </w:pPr>
      <w:r>
        <w:rPr>
          <w:rFonts w:hint="eastAsia" w:ascii="宋体" w:hAnsi="宋体" w:eastAsia="宋体" w:cs="宋体"/>
          <w:b/>
          <w:bCs/>
          <w:kern w:val="0"/>
          <w:sz w:val="24"/>
          <w:szCs w:val="24"/>
          <w:highlight w:val="yellow"/>
        </w:rPr>
        <w:t>备注：</w:t>
      </w:r>
      <w:r>
        <w:rPr>
          <w:rFonts w:ascii="Calibri" w:hAnsi="Calibri" w:eastAsia="宋体" w:cs="宋体"/>
          <w:b/>
          <w:bCs/>
          <w:kern w:val="0"/>
          <w:sz w:val="24"/>
          <w:szCs w:val="24"/>
          <w:highlight w:val="yellow"/>
        </w:rPr>
        <w:t>1.</w:t>
      </w:r>
      <w:r>
        <w:rPr>
          <w:rFonts w:hint="eastAsia" w:ascii="宋体" w:hAnsi="宋体" w:eastAsia="宋体" w:cs="宋体"/>
          <w:b/>
          <w:bCs/>
          <w:kern w:val="0"/>
          <w:sz w:val="24"/>
          <w:szCs w:val="24"/>
          <w:highlight w:val="yellow"/>
        </w:rPr>
        <w:t>本页必须加盖公章</w:t>
      </w:r>
    </w:p>
    <w:p>
      <w:pPr>
        <w:widowControl/>
        <w:numPr>
          <w:ilvl w:val="0"/>
          <w:numId w:val="2"/>
        </w:numPr>
        <w:shd w:val="clear" w:color="auto" w:fill="FFFFFF"/>
        <w:spacing w:after="120" w:line="362" w:lineRule="atLeast"/>
        <w:jc w:val="left"/>
        <w:rPr>
          <w:rFonts w:ascii="宋体" w:hAnsi="宋体" w:eastAsia="宋体" w:cs="宋体"/>
          <w:b/>
          <w:kern w:val="0"/>
          <w:sz w:val="24"/>
          <w:szCs w:val="24"/>
          <w:highlight w:val="yellow"/>
        </w:rPr>
      </w:pPr>
      <w:r>
        <w:rPr>
          <w:rFonts w:hint="eastAsia" w:ascii="宋体" w:hAnsi="宋体" w:eastAsia="宋体" w:cs="宋体"/>
          <w:b/>
          <w:kern w:val="0"/>
          <w:sz w:val="24"/>
          <w:szCs w:val="24"/>
          <w:highlight w:val="yellow"/>
        </w:rPr>
        <w:t>此报价包含</w:t>
      </w:r>
      <w:r>
        <w:rPr>
          <w:rFonts w:ascii="Calibri" w:hAnsi="Calibri" w:eastAsia="宋体" w:cs="宋体"/>
          <w:b/>
          <w:kern w:val="0"/>
          <w:sz w:val="24"/>
          <w:szCs w:val="24"/>
          <w:highlight w:val="yellow"/>
        </w:rPr>
        <w:t>1</w:t>
      </w:r>
      <w:r>
        <w:rPr>
          <w:rFonts w:hint="eastAsia" w:ascii="Calibri" w:hAnsi="Calibri" w:eastAsia="宋体" w:cs="宋体"/>
          <w:b/>
          <w:kern w:val="0"/>
          <w:sz w:val="24"/>
          <w:szCs w:val="24"/>
          <w:highlight w:val="yellow"/>
        </w:rPr>
        <w:t>3</w:t>
      </w:r>
      <w:r>
        <w:rPr>
          <w:rFonts w:ascii="Calibri" w:hAnsi="Calibri" w:eastAsia="宋体" w:cs="宋体"/>
          <w:b/>
          <w:kern w:val="0"/>
          <w:sz w:val="24"/>
          <w:szCs w:val="24"/>
          <w:highlight w:val="yellow"/>
        </w:rPr>
        <w:t>%</w:t>
      </w:r>
      <w:r>
        <w:rPr>
          <w:rFonts w:hint="eastAsia" w:ascii="宋体" w:hAnsi="宋体" w:eastAsia="宋体" w:cs="宋体"/>
          <w:b/>
          <w:kern w:val="0"/>
          <w:sz w:val="24"/>
          <w:szCs w:val="24"/>
          <w:highlight w:val="yellow"/>
        </w:rPr>
        <w:t>增值税发票和运费等。</w:t>
      </w:r>
    </w:p>
    <w:p>
      <w:pPr>
        <w:widowControl/>
        <w:numPr>
          <w:ilvl w:val="0"/>
          <w:numId w:val="2"/>
        </w:numPr>
        <w:shd w:val="clear" w:color="auto" w:fill="FFFFFF"/>
        <w:spacing w:after="120" w:line="362" w:lineRule="atLeast"/>
        <w:jc w:val="left"/>
        <w:rPr>
          <w:rFonts w:ascii="宋体" w:hAnsi="宋体" w:eastAsia="宋体" w:cs="宋体"/>
          <w:b/>
          <w:kern w:val="0"/>
          <w:sz w:val="24"/>
          <w:szCs w:val="24"/>
          <w:highlight w:val="yellow"/>
        </w:rPr>
      </w:pPr>
      <w:r>
        <w:rPr>
          <w:rFonts w:hint="eastAsia" w:ascii="宋体" w:hAnsi="宋体" w:eastAsia="宋体" w:cs="宋体"/>
          <w:b/>
          <w:kern w:val="0"/>
          <w:sz w:val="24"/>
          <w:szCs w:val="24"/>
          <w:highlight w:val="yellow"/>
        </w:rPr>
        <w:t>此次投标技术标与商务标分开装订成册。</w:t>
      </w:r>
    </w:p>
    <w:p>
      <w:pPr>
        <w:pStyle w:val="2"/>
        <w:ind w:firstLine="0" w:firstLineChars="0"/>
        <w:jc w:val="left"/>
        <w:rPr>
          <w:b/>
          <w:sz w:val="24"/>
        </w:rPr>
      </w:pPr>
      <w:r>
        <w:rPr>
          <w:rFonts w:hint="eastAsia"/>
          <w:b/>
          <w:sz w:val="24"/>
          <w:highlight w:val="yellow"/>
        </w:rPr>
        <w:t>4、此项目需要样品，详见标书第二部分。关于样品有疑问，请与第一部分3.5中招标联系人联系，未按时提供样品，则视为标书作废，谢谢配合。</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sectPr>
      <w:pgSz w:w="11906" w:h="16838"/>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65444"/>
      <w:docPartObj>
        <w:docPartGallery w:val="AutoText"/>
      </w:docPartObj>
    </w:sdtPr>
    <w:sdtContent>
      <w:sdt>
        <w:sdtPr>
          <w:id w:val="171357217"/>
          <w:docPartObj>
            <w:docPartGallery w:val="AutoText"/>
          </w:docPartObj>
        </w:sdtPr>
        <w:sdtContent>
          <w:p>
            <w:pPr>
              <w:pStyle w:val="1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15</w:t>
            </w:r>
            <w:r>
              <w:rPr>
                <w:b/>
                <w:sz w:val="24"/>
                <w:szCs w:val="24"/>
              </w:rPr>
              <w:fldChar w:fldCharType="end"/>
            </w:r>
          </w:p>
        </w:sdtContent>
      </w:sdt>
    </w:sdtContent>
  </w:sdt>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16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C84A16"/>
    <w:multiLevelType w:val="singleLevel"/>
    <w:tmpl w:val="FAC84A16"/>
    <w:lvl w:ilvl="0" w:tentative="0">
      <w:start w:val="2"/>
      <w:numFmt w:val="decimal"/>
      <w:suff w:val="nothing"/>
      <w:lvlText w:val="%1、"/>
      <w:lvlJc w:val="left"/>
    </w:lvl>
  </w:abstractNum>
  <w:abstractNum w:abstractNumId="1">
    <w:nsid w:val="7BF12F30"/>
    <w:multiLevelType w:val="multilevel"/>
    <w:tmpl w:val="7BF12F30"/>
    <w:lvl w:ilvl="0" w:tentative="0">
      <w:start w:val="1"/>
      <w:numFmt w:val="decimal"/>
      <w:pStyle w:val="29"/>
      <w:isLgl/>
      <w:suff w:val="space"/>
      <w:lvlText w:val="%1."/>
      <w:lvlJc w:val="left"/>
      <w:pPr>
        <w:ind w:left="0" w:firstLine="0"/>
      </w:pPr>
      <w:rPr>
        <w:rFonts w:hint="eastAsia" w:eastAsia="黑体"/>
        <w:b/>
        <w:i w:val="0"/>
        <w:sz w:val="30"/>
        <w:szCs w:val="30"/>
      </w:rPr>
    </w:lvl>
    <w:lvl w:ilvl="1" w:tentative="0">
      <w:start w:val="1"/>
      <w:numFmt w:val="decimal"/>
      <w:isLgl/>
      <w:suff w:val="space"/>
      <w:lvlText w:val="%1.%2."/>
      <w:lvlJc w:val="left"/>
      <w:pPr>
        <w:ind w:left="0" w:firstLine="0"/>
      </w:pPr>
      <w:rPr>
        <w:rFonts w:hint="eastAsia" w:eastAsia="宋体"/>
        <w:b/>
        <w:i w:val="0"/>
        <w:sz w:val="24"/>
        <w:szCs w:val="24"/>
      </w:rPr>
    </w:lvl>
    <w:lvl w:ilvl="2" w:tentative="0">
      <w:start w:val="1"/>
      <w:numFmt w:val="decimal"/>
      <w:isLgl/>
      <w:suff w:val="space"/>
      <w:lvlText w:val="%1.%2.%3."/>
      <w:lvlJc w:val="left"/>
      <w:pPr>
        <w:ind w:left="0" w:firstLine="0"/>
      </w:pPr>
      <w:rPr>
        <w:rFonts w:hint="eastAsia" w:eastAsia="宋体"/>
        <w:b/>
        <w:i w:val="0"/>
        <w:sz w:val="21"/>
        <w:szCs w:val="21"/>
      </w:rPr>
    </w:lvl>
    <w:lvl w:ilvl="3" w:tentative="0">
      <w:start w:val="1"/>
      <w:numFmt w:val="decimal"/>
      <w:pStyle w:val="7"/>
      <w:suff w:val="space"/>
      <w:lvlText w:val="%1.%2.%3.%4."/>
      <w:lvlJc w:val="left"/>
      <w:pPr>
        <w:ind w:left="0" w:firstLine="0"/>
      </w:pPr>
      <w:rPr>
        <w:rFonts w:hint="eastAsia" w:eastAsia="宋体"/>
        <w:sz w:val="21"/>
        <w:szCs w:val="21"/>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550DC"/>
    <w:rsid w:val="00003C56"/>
    <w:rsid w:val="000066E8"/>
    <w:rsid w:val="00014CE8"/>
    <w:rsid w:val="00017877"/>
    <w:rsid w:val="000240DE"/>
    <w:rsid w:val="00035035"/>
    <w:rsid w:val="00042335"/>
    <w:rsid w:val="00042E61"/>
    <w:rsid w:val="00043179"/>
    <w:rsid w:val="000431EF"/>
    <w:rsid w:val="00052B20"/>
    <w:rsid w:val="00052B46"/>
    <w:rsid w:val="00053C9D"/>
    <w:rsid w:val="00063EA5"/>
    <w:rsid w:val="000749A8"/>
    <w:rsid w:val="00085C30"/>
    <w:rsid w:val="00093ABE"/>
    <w:rsid w:val="0009640D"/>
    <w:rsid w:val="000B68A4"/>
    <w:rsid w:val="000C06F0"/>
    <w:rsid w:val="000C1AA1"/>
    <w:rsid w:val="000C5F33"/>
    <w:rsid w:val="000C6187"/>
    <w:rsid w:val="000D0340"/>
    <w:rsid w:val="000D1387"/>
    <w:rsid w:val="000D3082"/>
    <w:rsid w:val="000D38EE"/>
    <w:rsid w:val="000D5648"/>
    <w:rsid w:val="000E089A"/>
    <w:rsid w:val="000F1925"/>
    <w:rsid w:val="000F4496"/>
    <w:rsid w:val="00100CF3"/>
    <w:rsid w:val="001029BB"/>
    <w:rsid w:val="00107D5C"/>
    <w:rsid w:val="00114014"/>
    <w:rsid w:val="00117C4C"/>
    <w:rsid w:val="00117D06"/>
    <w:rsid w:val="001250CA"/>
    <w:rsid w:val="00131EFD"/>
    <w:rsid w:val="001335BE"/>
    <w:rsid w:val="00133654"/>
    <w:rsid w:val="001501DC"/>
    <w:rsid w:val="001565DE"/>
    <w:rsid w:val="001633BE"/>
    <w:rsid w:val="00164896"/>
    <w:rsid w:val="001756EF"/>
    <w:rsid w:val="00182B37"/>
    <w:rsid w:val="001841F7"/>
    <w:rsid w:val="00184CAA"/>
    <w:rsid w:val="00187D1F"/>
    <w:rsid w:val="001A2820"/>
    <w:rsid w:val="001A3F49"/>
    <w:rsid w:val="001B0E44"/>
    <w:rsid w:val="001B1193"/>
    <w:rsid w:val="001B191A"/>
    <w:rsid w:val="001C1701"/>
    <w:rsid w:val="001C377A"/>
    <w:rsid w:val="001C5283"/>
    <w:rsid w:val="001C7714"/>
    <w:rsid w:val="001D1929"/>
    <w:rsid w:val="001D759E"/>
    <w:rsid w:val="001D7B7E"/>
    <w:rsid w:val="001E6428"/>
    <w:rsid w:val="0020202B"/>
    <w:rsid w:val="0020616B"/>
    <w:rsid w:val="00207710"/>
    <w:rsid w:val="00215839"/>
    <w:rsid w:val="002261BE"/>
    <w:rsid w:val="002275E1"/>
    <w:rsid w:val="0023048C"/>
    <w:rsid w:val="002341BD"/>
    <w:rsid w:val="002349FD"/>
    <w:rsid w:val="00236F25"/>
    <w:rsid w:val="002434CA"/>
    <w:rsid w:val="00245454"/>
    <w:rsid w:val="00253A11"/>
    <w:rsid w:val="00257AB9"/>
    <w:rsid w:val="002612CE"/>
    <w:rsid w:val="002614C0"/>
    <w:rsid w:val="00273069"/>
    <w:rsid w:val="00277051"/>
    <w:rsid w:val="00277E63"/>
    <w:rsid w:val="00282205"/>
    <w:rsid w:val="00287FCF"/>
    <w:rsid w:val="00293F78"/>
    <w:rsid w:val="00297410"/>
    <w:rsid w:val="002A1CB7"/>
    <w:rsid w:val="002A3A8C"/>
    <w:rsid w:val="002B1F6C"/>
    <w:rsid w:val="002B4BB1"/>
    <w:rsid w:val="002B4EB3"/>
    <w:rsid w:val="002C0F51"/>
    <w:rsid w:val="002C5B82"/>
    <w:rsid w:val="002D2F2F"/>
    <w:rsid w:val="002D64F4"/>
    <w:rsid w:val="002E6DBF"/>
    <w:rsid w:val="002E73CE"/>
    <w:rsid w:val="002E7E8B"/>
    <w:rsid w:val="002F2B5F"/>
    <w:rsid w:val="002F570A"/>
    <w:rsid w:val="002F6F3B"/>
    <w:rsid w:val="002F7D5D"/>
    <w:rsid w:val="0030696B"/>
    <w:rsid w:val="00310621"/>
    <w:rsid w:val="00322F1E"/>
    <w:rsid w:val="003239C0"/>
    <w:rsid w:val="003247C8"/>
    <w:rsid w:val="00330CDE"/>
    <w:rsid w:val="00331DC8"/>
    <w:rsid w:val="0034574D"/>
    <w:rsid w:val="003464EE"/>
    <w:rsid w:val="00351090"/>
    <w:rsid w:val="00354F3A"/>
    <w:rsid w:val="00355A52"/>
    <w:rsid w:val="00357949"/>
    <w:rsid w:val="00357E68"/>
    <w:rsid w:val="00364A53"/>
    <w:rsid w:val="0036509B"/>
    <w:rsid w:val="00365DBA"/>
    <w:rsid w:val="003714F5"/>
    <w:rsid w:val="00372CF6"/>
    <w:rsid w:val="00375619"/>
    <w:rsid w:val="0038171C"/>
    <w:rsid w:val="003834BB"/>
    <w:rsid w:val="003842C0"/>
    <w:rsid w:val="00395CA2"/>
    <w:rsid w:val="003A14FF"/>
    <w:rsid w:val="003A175B"/>
    <w:rsid w:val="003A637E"/>
    <w:rsid w:val="003C175E"/>
    <w:rsid w:val="003C1B75"/>
    <w:rsid w:val="003C33BB"/>
    <w:rsid w:val="003C5A3F"/>
    <w:rsid w:val="003D3051"/>
    <w:rsid w:val="003D5F51"/>
    <w:rsid w:val="003E7C3A"/>
    <w:rsid w:val="003F4E36"/>
    <w:rsid w:val="004003D6"/>
    <w:rsid w:val="00413CC6"/>
    <w:rsid w:val="00422095"/>
    <w:rsid w:val="0042538B"/>
    <w:rsid w:val="004264FC"/>
    <w:rsid w:val="00431E70"/>
    <w:rsid w:val="00432D60"/>
    <w:rsid w:val="0043315C"/>
    <w:rsid w:val="00433419"/>
    <w:rsid w:val="0044021D"/>
    <w:rsid w:val="0044450C"/>
    <w:rsid w:val="00444517"/>
    <w:rsid w:val="004446DA"/>
    <w:rsid w:val="00445373"/>
    <w:rsid w:val="004459E6"/>
    <w:rsid w:val="004464DC"/>
    <w:rsid w:val="004475C6"/>
    <w:rsid w:val="00447FF8"/>
    <w:rsid w:val="004563E6"/>
    <w:rsid w:val="00460EC2"/>
    <w:rsid w:val="00460F97"/>
    <w:rsid w:val="00464ADD"/>
    <w:rsid w:val="00474212"/>
    <w:rsid w:val="00480B46"/>
    <w:rsid w:val="004864F1"/>
    <w:rsid w:val="004A79D8"/>
    <w:rsid w:val="004A7C11"/>
    <w:rsid w:val="004B0354"/>
    <w:rsid w:val="004B15F8"/>
    <w:rsid w:val="004C7141"/>
    <w:rsid w:val="004C75B7"/>
    <w:rsid w:val="004D57E9"/>
    <w:rsid w:val="004E2C55"/>
    <w:rsid w:val="004F2C35"/>
    <w:rsid w:val="004F77F0"/>
    <w:rsid w:val="005000DD"/>
    <w:rsid w:val="00510468"/>
    <w:rsid w:val="00514B98"/>
    <w:rsid w:val="00522D59"/>
    <w:rsid w:val="00532113"/>
    <w:rsid w:val="005337F8"/>
    <w:rsid w:val="00536DCD"/>
    <w:rsid w:val="00543DC0"/>
    <w:rsid w:val="005450AB"/>
    <w:rsid w:val="00546EB8"/>
    <w:rsid w:val="00547206"/>
    <w:rsid w:val="00560F99"/>
    <w:rsid w:val="005679D9"/>
    <w:rsid w:val="005720EC"/>
    <w:rsid w:val="00582C62"/>
    <w:rsid w:val="00585810"/>
    <w:rsid w:val="00590207"/>
    <w:rsid w:val="005A5F72"/>
    <w:rsid w:val="005B5629"/>
    <w:rsid w:val="005E422E"/>
    <w:rsid w:val="005E4653"/>
    <w:rsid w:val="005E617D"/>
    <w:rsid w:val="005E61E7"/>
    <w:rsid w:val="005E78E7"/>
    <w:rsid w:val="005F4ABF"/>
    <w:rsid w:val="006037C7"/>
    <w:rsid w:val="0061264E"/>
    <w:rsid w:val="00621B90"/>
    <w:rsid w:val="006269F3"/>
    <w:rsid w:val="00630CEC"/>
    <w:rsid w:val="00631866"/>
    <w:rsid w:val="0063187B"/>
    <w:rsid w:val="00632331"/>
    <w:rsid w:val="00635D35"/>
    <w:rsid w:val="00636B47"/>
    <w:rsid w:val="006512AF"/>
    <w:rsid w:val="00651C5F"/>
    <w:rsid w:val="00652484"/>
    <w:rsid w:val="00653C00"/>
    <w:rsid w:val="0065666A"/>
    <w:rsid w:val="00661CFD"/>
    <w:rsid w:val="00667657"/>
    <w:rsid w:val="00682C2E"/>
    <w:rsid w:val="00687186"/>
    <w:rsid w:val="00694717"/>
    <w:rsid w:val="0069502A"/>
    <w:rsid w:val="006A13AD"/>
    <w:rsid w:val="006A2CB5"/>
    <w:rsid w:val="006A2D37"/>
    <w:rsid w:val="006B48DA"/>
    <w:rsid w:val="006B4FC7"/>
    <w:rsid w:val="006C593F"/>
    <w:rsid w:val="006D1EEB"/>
    <w:rsid w:val="006D2C64"/>
    <w:rsid w:val="006D550F"/>
    <w:rsid w:val="006D56A8"/>
    <w:rsid w:val="006E012B"/>
    <w:rsid w:val="006E16EA"/>
    <w:rsid w:val="006E54F3"/>
    <w:rsid w:val="006F075C"/>
    <w:rsid w:val="007021F4"/>
    <w:rsid w:val="007071CA"/>
    <w:rsid w:val="00747AC3"/>
    <w:rsid w:val="007554F0"/>
    <w:rsid w:val="00760145"/>
    <w:rsid w:val="007620A6"/>
    <w:rsid w:val="00772881"/>
    <w:rsid w:val="00772D87"/>
    <w:rsid w:val="00773422"/>
    <w:rsid w:val="007843E7"/>
    <w:rsid w:val="00786124"/>
    <w:rsid w:val="007907FD"/>
    <w:rsid w:val="00794ED6"/>
    <w:rsid w:val="007A1145"/>
    <w:rsid w:val="007A4F3E"/>
    <w:rsid w:val="007A7689"/>
    <w:rsid w:val="007A76D8"/>
    <w:rsid w:val="007B53C2"/>
    <w:rsid w:val="007B6D9C"/>
    <w:rsid w:val="007C0141"/>
    <w:rsid w:val="007C041D"/>
    <w:rsid w:val="007C1BDC"/>
    <w:rsid w:val="007C2512"/>
    <w:rsid w:val="007C3840"/>
    <w:rsid w:val="007D141A"/>
    <w:rsid w:val="007D2B6F"/>
    <w:rsid w:val="007E1344"/>
    <w:rsid w:val="007E1AF5"/>
    <w:rsid w:val="007E2ABF"/>
    <w:rsid w:val="007E43B1"/>
    <w:rsid w:val="007E5452"/>
    <w:rsid w:val="007F47C7"/>
    <w:rsid w:val="00802950"/>
    <w:rsid w:val="00814C8F"/>
    <w:rsid w:val="00823A7A"/>
    <w:rsid w:val="008426DA"/>
    <w:rsid w:val="0084273F"/>
    <w:rsid w:val="008537A4"/>
    <w:rsid w:val="00857053"/>
    <w:rsid w:val="008576B8"/>
    <w:rsid w:val="00863783"/>
    <w:rsid w:val="00875F21"/>
    <w:rsid w:val="00876CB2"/>
    <w:rsid w:val="00884027"/>
    <w:rsid w:val="008934A4"/>
    <w:rsid w:val="008A0AA3"/>
    <w:rsid w:val="008A6194"/>
    <w:rsid w:val="008B426C"/>
    <w:rsid w:val="008B6AC2"/>
    <w:rsid w:val="008B6E36"/>
    <w:rsid w:val="008B7C8B"/>
    <w:rsid w:val="008C25E1"/>
    <w:rsid w:val="008C2FD7"/>
    <w:rsid w:val="008D01A5"/>
    <w:rsid w:val="008D24A4"/>
    <w:rsid w:val="008D3585"/>
    <w:rsid w:val="008E2051"/>
    <w:rsid w:val="008E66F3"/>
    <w:rsid w:val="008E71E1"/>
    <w:rsid w:val="00903082"/>
    <w:rsid w:val="00903CDA"/>
    <w:rsid w:val="00906DC8"/>
    <w:rsid w:val="00907094"/>
    <w:rsid w:val="00907B5E"/>
    <w:rsid w:val="00907FCD"/>
    <w:rsid w:val="009100A5"/>
    <w:rsid w:val="0091249D"/>
    <w:rsid w:val="00926F76"/>
    <w:rsid w:val="00931D6A"/>
    <w:rsid w:val="00944A68"/>
    <w:rsid w:val="00946EB9"/>
    <w:rsid w:val="009515FE"/>
    <w:rsid w:val="00953311"/>
    <w:rsid w:val="00953CDD"/>
    <w:rsid w:val="00954001"/>
    <w:rsid w:val="0095418D"/>
    <w:rsid w:val="00957772"/>
    <w:rsid w:val="009604A6"/>
    <w:rsid w:val="00972081"/>
    <w:rsid w:val="00974168"/>
    <w:rsid w:val="00975B51"/>
    <w:rsid w:val="00995D9B"/>
    <w:rsid w:val="009C7CBF"/>
    <w:rsid w:val="009D5A9C"/>
    <w:rsid w:val="009E6292"/>
    <w:rsid w:val="009F098A"/>
    <w:rsid w:val="009F1657"/>
    <w:rsid w:val="009F7B56"/>
    <w:rsid w:val="009F7E4C"/>
    <w:rsid w:val="00A019DB"/>
    <w:rsid w:val="00A02205"/>
    <w:rsid w:val="00A13DAF"/>
    <w:rsid w:val="00A13FE1"/>
    <w:rsid w:val="00A1479A"/>
    <w:rsid w:val="00A20605"/>
    <w:rsid w:val="00A209A8"/>
    <w:rsid w:val="00A211F9"/>
    <w:rsid w:val="00A31E88"/>
    <w:rsid w:val="00A34842"/>
    <w:rsid w:val="00A4206F"/>
    <w:rsid w:val="00A50F92"/>
    <w:rsid w:val="00A56DA9"/>
    <w:rsid w:val="00A621E2"/>
    <w:rsid w:val="00A63E28"/>
    <w:rsid w:val="00A72FC5"/>
    <w:rsid w:val="00A771F5"/>
    <w:rsid w:val="00A96E50"/>
    <w:rsid w:val="00AB11BA"/>
    <w:rsid w:val="00AB1F58"/>
    <w:rsid w:val="00AB2D94"/>
    <w:rsid w:val="00AC0710"/>
    <w:rsid w:val="00AD6676"/>
    <w:rsid w:val="00AE1154"/>
    <w:rsid w:val="00AE3807"/>
    <w:rsid w:val="00AE6EA9"/>
    <w:rsid w:val="00AE7D58"/>
    <w:rsid w:val="00AF63D8"/>
    <w:rsid w:val="00B0043A"/>
    <w:rsid w:val="00B11272"/>
    <w:rsid w:val="00B12694"/>
    <w:rsid w:val="00B15C8D"/>
    <w:rsid w:val="00B171EC"/>
    <w:rsid w:val="00B24EDA"/>
    <w:rsid w:val="00B32D95"/>
    <w:rsid w:val="00B33757"/>
    <w:rsid w:val="00B35151"/>
    <w:rsid w:val="00B539AE"/>
    <w:rsid w:val="00B57CFD"/>
    <w:rsid w:val="00B63435"/>
    <w:rsid w:val="00B7589E"/>
    <w:rsid w:val="00B80152"/>
    <w:rsid w:val="00B85C63"/>
    <w:rsid w:val="00B92BA4"/>
    <w:rsid w:val="00BA242E"/>
    <w:rsid w:val="00BA63FC"/>
    <w:rsid w:val="00BB22D2"/>
    <w:rsid w:val="00BB49D9"/>
    <w:rsid w:val="00BC0AAF"/>
    <w:rsid w:val="00BC7394"/>
    <w:rsid w:val="00BD4D24"/>
    <w:rsid w:val="00BD5500"/>
    <w:rsid w:val="00BE01C3"/>
    <w:rsid w:val="00BE129D"/>
    <w:rsid w:val="00BE1B6F"/>
    <w:rsid w:val="00BE245F"/>
    <w:rsid w:val="00BF0F7A"/>
    <w:rsid w:val="00C052E1"/>
    <w:rsid w:val="00C0624A"/>
    <w:rsid w:val="00C10010"/>
    <w:rsid w:val="00C10033"/>
    <w:rsid w:val="00C10A0D"/>
    <w:rsid w:val="00C140EC"/>
    <w:rsid w:val="00C143E4"/>
    <w:rsid w:val="00C25B9C"/>
    <w:rsid w:val="00C26DDE"/>
    <w:rsid w:val="00C3005D"/>
    <w:rsid w:val="00C334B4"/>
    <w:rsid w:val="00C363E5"/>
    <w:rsid w:val="00C36B64"/>
    <w:rsid w:val="00C471A7"/>
    <w:rsid w:val="00C51B84"/>
    <w:rsid w:val="00C550DC"/>
    <w:rsid w:val="00C55B1F"/>
    <w:rsid w:val="00C573C5"/>
    <w:rsid w:val="00C703F4"/>
    <w:rsid w:val="00C70B3E"/>
    <w:rsid w:val="00C90C8D"/>
    <w:rsid w:val="00CA0D0E"/>
    <w:rsid w:val="00CA1A40"/>
    <w:rsid w:val="00CC0D9D"/>
    <w:rsid w:val="00CC39ED"/>
    <w:rsid w:val="00CC4F7E"/>
    <w:rsid w:val="00CE1726"/>
    <w:rsid w:val="00CE3C9B"/>
    <w:rsid w:val="00CE3D81"/>
    <w:rsid w:val="00CF2D39"/>
    <w:rsid w:val="00D12B12"/>
    <w:rsid w:val="00D14A49"/>
    <w:rsid w:val="00D25E31"/>
    <w:rsid w:val="00D31EC7"/>
    <w:rsid w:val="00D33605"/>
    <w:rsid w:val="00D363DA"/>
    <w:rsid w:val="00D4146E"/>
    <w:rsid w:val="00D4156B"/>
    <w:rsid w:val="00D47247"/>
    <w:rsid w:val="00D52ADE"/>
    <w:rsid w:val="00D54AD6"/>
    <w:rsid w:val="00D54E49"/>
    <w:rsid w:val="00D60CEA"/>
    <w:rsid w:val="00D626FC"/>
    <w:rsid w:val="00D66926"/>
    <w:rsid w:val="00D6792A"/>
    <w:rsid w:val="00D71082"/>
    <w:rsid w:val="00D76641"/>
    <w:rsid w:val="00D802E9"/>
    <w:rsid w:val="00D80BA0"/>
    <w:rsid w:val="00D84A4A"/>
    <w:rsid w:val="00DA7F54"/>
    <w:rsid w:val="00DC1A6C"/>
    <w:rsid w:val="00DC2EB0"/>
    <w:rsid w:val="00DD3949"/>
    <w:rsid w:val="00DD6636"/>
    <w:rsid w:val="00DE0531"/>
    <w:rsid w:val="00DE4EA0"/>
    <w:rsid w:val="00DE5A89"/>
    <w:rsid w:val="00E124D3"/>
    <w:rsid w:val="00E1255E"/>
    <w:rsid w:val="00E131BE"/>
    <w:rsid w:val="00E2410F"/>
    <w:rsid w:val="00E24151"/>
    <w:rsid w:val="00E40713"/>
    <w:rsid w:val="00E44DBB"/>
    <w:rsid w:val="00E5230F"/>
    <w:rsid w:val="00E53050"/>
    <w:rsid w:val="00E62522"/>
    <w:rsid w:val="00E63AE0"/>
    <w:rsid w:val="00E6400A"/>
    <w:rsid w:val="00E657F3"/>
    <w:rsid w:val="00E65D77"/>
    <w:rsid w:val="00EA4BCE"/>
    <w:rsid w:val="00EA65C1"/>
    <w:rsid w:val="00EA773C"/>
    <w:rsid w:val="00EA7A26"/>
    <w:rsid w:val="00EA7E13"/>
    <w:rsid w:val="00EB1E5F"/>
    <w:rsid w:val="00EB5839"/>
    <w:rsid w:val="00EC584E"/>
    <w:rsid w:val="00EC7B50"/>
    <w:rsid w:val="00ED2E92"/>
    <w:rsid w:val="00EF2121"/>
    <w:rsid w:val="00EF3043"/>
    <w:rsid w:val="00EF48F3"/>
    <w:rsid w:val="00F02EC0"/>
    <w:rsid w:val="00F05661"/>
    <w:rsid w:val="00F164B8"/>
    <w:rsid w:val="00F20F5E"/>
    <w:rsid w:val="00F24376"/>
    <w:rsid w:val="00F254DF"/>
    <w:rsid w:val="00F3148B"/>
    <w:rsid w:val="00F319F3"/>
    <w:rsid w:val="00F355C0"/>
    <w:rsid w:val="00F41185"/>
    <w:rsid w:val="00F5377B"/>
    <w:rsid w:val="00F53912"/>
    <w:rsid w:val="00F54A4E"/>
    <w:rsid w:val="00F66F6E"/>
    <w:rsid w:val="00F7742D"/>
    <w:rsid w:val="00F77D22"/>
    <w:rsid w:val="00F84A5C"/>
    <w:rsid w:val="00F90D5F"/>
    <w:rsid w:val="00F94BAD"/>
    <w:rsid w:val="00F96A70"/>
    <w:rsid w:val="00FA224E"/>
    <w:rsid w:val="00FA58FC"/>
    <w:rsid w:val="00FB122A"/>
    <w:rsid w:val="00FB4D4A"/>
    <w:rsid w:val="00FB63E4"/>
    <w:rsid w:val="00FB6C48"/>
    <w:rsid w:val="00FC7582"/>
    <w:rsid w:val="00FD156A"/>
    <w:rsid w:val="00FD3CF5"/>
    <w:rsid w:val="00FD51B8"/>
    <w:rsid w:val="00FE169F"/>
    <w:rsid w:val="00FE5FE1"/>
    <w:rsid w:val="00FE65DD"/>
    <w:rsid w:val="00FF169D"/>
    <w:rsid w:val="00FF1B30"/>
    <w:rsid w:val="00FF1B71"/>
    <w:rsid w:val="00FF3B4A"/>
    <w:rsid w:val="00FF74E6"/>
    <w:rsid w:val="03D90A78"/>
    <w:rsid w:val="03FD2910"/>
    <w:rsid w:val="0E0B280D"/>
    <w:rsid w:val="1D985372"/>
    <w:rsid w:val="2D7B31AC"/>
    <w:rsid w:val="3CBA10F2"/>
    <w:rsid w:val="445909B7"/>
    <w:rsid w:val="47AD687E"/>
    <w:rsid w:val="52ED3684"/>
    <w:rsid w:val="53B52484"/>
    <w:rsid w:val="53E46957"/>
    <w:rsid w:val="57431D2A"/>
    <w:rsid w:val="5A514963"/>
    <w:rsid w:val="5EF31BCB"/>
    <w:rsid w:val="66DC08FC"/>
    <w:rsid w:val="69053BE4"/>
    <w:rsid w:val="761931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4"/>
    <w:qFormat/>
    <w:uiPriority w:val="0"/>
    <w:pPr>
      <w:keepNext/>
      <w:keepLines/>
      <w:spacing w:before="240" w:after="240" w:line="480" w:lineRule="exact"/>
      <w:jc w:val="center"/>
      <w:outlineLvl w:val="0"/>
    </w:pPr>
    <w:rPr>
      <w:rFonts w:ascii="Times New Roman" w:hAnsi="Times New Roman" w:eastAsia="宋体" w:cs="Times New Roman"/>
      <w:b/>
      <w:bCs/>
      <w:kern w:val="44"/>
      <w:sz w:val="44"/>
      <w:szCs w:val="44"/>
    </w:rPr>
  </w:style>
  <w:style w:type="paragraph" w:styleId="5">
    <w:name w:val="heading 3"/>
    <w:basedOn w:val="1"/>
    <w:next w:val="6"/>
    <w:link w:val="25"/>
    <w:qFormat/>
    <w:uiPriority w:val="0"/>
    <w:pPr>
      <w:keepNext/>
      <w:keepLines/>
      <w:widowControl/>
      <w:tabs>
        <w:tab w:val="left" w:pos="-105"/>
      </w:tabs>
      <w:spacing w:before="260" w:after="260" w:line="416" w:lineRule="auto"/>
      <w:ind w:right="-147" w:rightChars="-70"/>
      <w:jc w:val="left"/>
      <w:outlineLvl w:val="2"/>
    </w:pPr>
    <w:rPr>
      <w:rFonts w:ascii="宋体" w:hAnsi="宋体" w:eastAsia="宋体" w:cs="Times New Roman"/>
      <w:b/>
      <w:kern w:val="0"/>
      <w:sz w:val="32"/>
      <w:szCs w:val="20"/>
    </w:rPr>
  </w:style>
  <w:style w:type="paragraph" w:styleId="7">
    <w:name w:val="heading 4"/>
    <w:basedOn w:val="1"/>
    <w:next w:val="6"/>
    <w:link w:val="26"/>
    <w:qFormat/>
    <w:uiPriority w:val="0"/>
    <w:pPr>
      <w:keepNext/>
      <w:keepLines/>
      <w:numPr>
        <w:ilvl w:val="3"/>
        <w:numId w:val="1"/>
      </w:numPr>
      <w:tabs>
        <w:tab w:val="left" w:pos="-105"/>
      </w:tabs>
      <w:adjustRightInd w:val="0"/>
      <w:spacing w:before="280" w:after="290" w:line="376" w:lineRule="auto"/>
      <w:ind w:right="-147" w:rightChars="-70"/>
      <w:textAlignment w:val="baseline"/>
      <w:outlineLvl w:val="3"/>
    </w:pPr>
    <w:rPr>
      <w:rFonts w:ascii="Arial" w:hAnsi="Arial" w:eastAsia="黑体" w:cs="Times New Roman"/>
      <w:b/>
      <w:kern w:val="0"/>
      <w:sz w:val="28"/>
      <w:szCs w:val="20"/>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105"/>
      </w:tabs>
      <w:ind w:firstLine="420" w:firstLineChars="200"/>
    </w:pPr>
    <w:rPr>
      <w:szCs w:val="24"/>
    </w:rPr>
  </w:style>
  <w:style w:type="paragraph" w:styleId="3">
    <w:name w:val="Body Text Indent"/>
    <w:basedOn w:val="1"/>
    <w:link w:val="30"/>
    <w:qFormat/>
    <w:uiPriority w:val="0"/>
    <w:pPr>
      <w:tabs>
        <w:tab w:val="left" w:pos="-105"/>
      </w:tabs>
      <w:spacing w:line="460" w:lineRule="exact"/>
      <w:ind w:right="-147" w:rightChars="-70" w:firstLine="454"/>
      <w:outlineLvl w:val="2"/>
    </w:pPr>
    <w:rPr>
      <w:rFonts w:ascii="宋体" w:hAnsi="宋体" w:eastAsia="宋体" w:cs="Times New Roman"/>
      <w:sz w:val="28"/>
      <w:szCs w:val="20"/>
    </w:rPr>
  </w:style>
  <w:style w:type="paragraph" w:styleId="6">
    <w:name w:val="Normal Indent"/>
    <w:basedOn w:val="1"/>
    <w:semiHidden/>
    <w:unhideWhenUsed/>
    <w:qFormat/>
    <w:uiPriority w:val="99"/>
    <w:pPr>
      <w:ind w:firstLine="420" w:firstLineChars="200"/>
    </w:pPr>
    <w:rPr>
      <w:rFonts w:ascii="Times New Roman" w:hAnsi="Times New Roman" w:eastAsia="宋体" w:cs="Times New Roman"/>
      <w:szCs w:val="24"/>
    </w:rPr>
  </w:style>
  <w:style w:type="paragraph" w:styleId="8">
    <w:name w:val="annotation text"/>
    <w:basedOn w:val="1"/>
    <w:link w:val="41"/>
    <w:semiHidden/>
    <w:unhideWhenUsed/>
    <w:qFormat/>
    <w:uiPriority w:val="99"/>
    <w:pPr>
      <w:jc w:val="left"/>
    </w:pPr>
    <w:rPr>
      <w:rFonts w:ascii="Times New Roman" w:hAnsi="Times New Roman" w:eastAsia="宋体" w:cs="Times New Roman"/>
      <w:szCs w:val="24"/>
    </w:rPr>
  </w:style>
  <w:style w:type="paragraph" w:styleId="9">
    <w:name w:val="Body Text 3"/>
    <w:basedOn w:val="1"/>
    <w:link w:val="43"/>
    <w:semiHidden/>
    <w:unhideWhenUsed/>
    <w:uiPriority w:val="99"/>
    <w:pPr>
      <w:spacing w:after="120"/>
    </w:pPr>
    <w:rPr>
      <w:sz w:val="16"/>
      <w:szCs w:val="16"/>
    </w:rPr>
  </w:style>
  <w:style w:type="paragraph" w:styleId="10">
    <w:name w:val="Body Text"/>
    <w:basedOn w:val="1"/>
    <w:link w:val="35"/>
    <w:semiHidden/>
    <w:unhideWhenUsed/>
    <w:qFormat/>
    <w:uiPriority w:val="99"/>
    <w:pPr>
      <w:spacing w:after="120"/>
    </w:pPr>
    <w:rPr>
      <w:rFonts w:ascii="Times New Roman" w:hAnsi="Times New Roman" w:eastAsia="宋体" w:cs="Times New Roman"/>
      <w:szCs w:val="24"/>
    </w:rPr>
  </w:style>
  <w:style w:type="paragraph" w:styleId="11">
    <w:name w:val="Plain Text"/>
    <w:basedOn w:val="1"/>
    <w:link w:val="36"/>
    <w:qFormat/>
    <w:uiPriority w:val="0"/>
    <w:pPr>
      <w:spacing w:line="500" w:lineRule="exact"/>
    </w:pPr>
    <w:rPr>
      <w:rFonts w:ascii="宋体" w:hAnsi="Courier New" w:eastAsia="宋体"/>
    </w:rPr>
  </w:style>
  <w:style w:type="paragraph" w:styleId="12">
    <w:name w:val="Date"/>
    <w:basedOn w:val="1"/>
    <w:next w:val="1"/>
    <w:link w:val="38"/>
    <w:semiHidden/>
    <w:unhideWhenUsed/>
    <w:qFormat/>
    <w:uiPriority w:val="99"/>
    <w:pPr>
      <w:ind w:left="100" w:leftChars="2500"/>
    </w:pPr>
    <w:rPr>
      <w:rFonts w:ascii="Times New Roman" w:hAnsi="Times New Roman" w:eastAsia="宋体" w:cs="Times New Roman"/>
      <w:szCs w:val="24"/>
    </w:rPr>
  </w:style>
  <w:style w:type="paragraph" w:styleId="13">
    <w:name w:val="Body Text Indent 2"/>
    <w:basedOn w:val="1"/>
    <w:link w:val="31"/>
    <w:qFormat/>
    <w:uiPriority w:val="0"/>
    <w:pPr>
      <w:tabs>
        <w:tab w:val="left" w:pos="-105"/>
      </w:tabs>
      <w:spacing w:line="360" w:lineRule="auto"/>
      <w:ind w:right="-147" w:rightChars="-70" w:firstLine="540"/>
      <w:outlineLvl w:val="2"/>
    </w:pPr>
    <w:rPr>
      <w:rFonts w:ascii="宋体" w:hAnsi="宋体" w:eastAsia="宋体" w:cs="Times New Roman"/>
      <w:color w:val="000000"/>
      <w:sz w:val="24"/>
      <w:szCs w:val="20"/>
    </w:rPr>
  </w:style>
  <w:style w:type="paragraph" w:styleId="14">
    <w:name w:val="Balloon Text"/>
    <w:basedOn w:val="1"/>
    <w:link w:val="42"/>
    <w:semiHidden/>
    <w:unhideWhenUsed/>
    <w:qFormat/>
    <w:uiPriority w:val="99"/>
    <w:rPr>
      <w:rFonts w:ascii="Times New Roman" w:hAnsi="Times New Roman" w:eastAsia="宋体" w:cs="Times New Roman"/>
      <w:sz w:val="18"/>
      <w:szCs w:val="18"/>
    </w:rPr>
  </w:style>
  <w:style w:type="paragraph" w:styleId="15">
    <w:name w:val="footer"/>
    <w:basedOn w:val="1"/>
    <w:link w:val="28"/>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16">
    <w:name w:val="header"/>
    <w:basedOn w:val="1"/>
    <w:link w:val="27"/>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7">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szCs w:val="24"/>
    </w:rPr>
  </w:style>
  <w:style w:type="character" w:styleId="20">
    <w:name w:val="Strong"/>
    <w:qFormat/>
    <w:uiPriority w:val="0"/>
    <w:rPr>
      <w:b/>
      <w:bCs/>
    </w:rPr>
  </w:style>
  <w:style w:type="character" w:styleId="21">
    <w:name w:val="page number"/>
    <w:basedOn w:val="19"/>
    <w:qFormat/>
    <w:uiPriority w:val="0"/>
  </w:style>
  <w:style w:type="character" w:styleId="22">
    <w:name w:val="Hyperlink"/>
    <w:qFormat/>
    <w:uiPriority w:val="99"/>
    <w:rPr>
      <w:rFonts w:cs="Times New Roman"/>
      <w:color w:val="0000FF"/>
      <w:u w:val="single"/>
    </w:rPr>
  </w:style>
  <w:style w:type="character" w:styleId="23">
    <w:name w:val="annotation reference"/>
    <w:semiHidden/>
    <w:qFormat/>
    <w:uiPriority w:val="0"/>
    <w:rPr>
      <w:sz w:val="21"/>
      <w:szCs w:val="21"/>
    </w:rPr>
  </w:style>
  <w:style w:type="character" w:customStyle="1" w:styleId="24">
    <w:name w:val="标题 1 Char"/>
    <w:basedOn w:val="19"/>
    <w:link w:val="4"/>
    <w:qFormat/>
    <w:uiPriority w:val="0"/>
    <w:rPr>
      <w:rFonts w:ascii="Times New Roman" w:hAnsi="Times New Roman" w:eastAsia="宋体" w:cs="Times New Roman"/>
      <w:b/>
      <w:bCs/>
      <w:kern w:val="44"/>
      <w:sz w:val="44"/>
      <w:szCs w:val="44"/>
    </w:rPr>
  </w:style>
  <w:style w:type="character" w:customStyle="1" w:styleId="25">
    <w:name w:val="标题 3 Char"/>
    <w:basedOn w:val="19"/>
    <w:link w:val="5"/>
    <w:qFormat/>
    <w:uiPriority w:val="0"/>
    <w:rPr>
      <w:rFonts w:ascii="宋体" w:hAnsi="宋体" w:eastAsia="宋体" w:cs="Times New Roman"/>
      <w:b/>
      <w:kern w:val="0"/>
      <w:sz w:val="32"/>
      <w:szCs w:val="20"/>
    </w:rPr>
  </w:style>
  <w:style w:type="character" w:customStyle="1" w:styleId="26">
    <w:name w:val="标题 4 Char"/>
    <w:basedOn w:val="19"/>
    <w:link w:val="7"/>
    <w:qFormat/>
    <w:uiPriority w:val="0"/>
    <w:rPr>
      <w:rFonts w:ascii="Arial" w:hAnsi="Arial" w:eastAsia="黑体" w:cs="Times New Roman"/>
      <w:b/>
      <w:kern w:val="0"/>
      <w:sz w:val="28"/>
      <w:szCs w:val="20"/>
    </w:rPr>
  </w:style>
  <w:style w:type="character" w:customStyle="1" w:styleId="27">
    <w:name w:val="页眉 Char"/>
    <w:basedOn w:val="19"/>
    <w:link w:val="16"/>
    <w:qFormat/>
    <w:uiPriority w:val="0"/>
    <w:rPr>
      <w:rFonts w:ascii="Times New Roman" w:hAnsi="Times New Roman" w:eastAsia="宋体" w:cs="Times New Roman"/>
      <w:sz w:val="18"/>
      <w:szCs w:val="18"/>
    </w:rPr>
  </w:style>
  <w:style w:type="character" w:customStyle="1" w:styleId="28">
    <w:name w:val="页脚 Char"/>
    <w:basedOn w:val="19"/>
    <w:link w:val="15"/>
    <w:qFormat/>
    <w:uiPriority w:val="99"/>
    <w:rPr>
      <w:rFonts w:ascii="Times New Roman" w:hAnsi="Times New Roman" w:eastAsia="宋体" w:cs="Times New Roman"/>
      <w:sz w:val="18"/>
      <w:szCs w:val="18"/>
    </w:rPr>
  </w:style>
  <w:style w:type="paragraph" w:customStyle="1" w:styleId="29">
    <w:name w:val="JY的章标题"/>
    <w:basedOn w:val="1"/>
    <w:qFormat/>
    <w:uiPriority w:val="0"/>
    <w:pPr>
      <w:numPr>
        <w:ilvl w:val="0"/>
        <w:numId w:val="1"/>
      </w:numPr>
      <w:tabs>
        <w:tab w:val="left" w:pos="-105"/>
      </w:tabs>
      <w:spacing w:line="440" w:lineRule="exact"/>
      <w:ind w:right="-147" w:rightChars="-70"/>
      <w:outlineLvl w:val="2"/>
    </w:pPr>
    <w:rPr>
      <w:rFonts w:ascii="宋体" w:hAnsi="宋体" w:eastAsia="宋体" w:cs="Times New Roman"/>
      <w:sz w:val="24"/>
      <w:szCs w:val="20"/>
    </w:rPr>
  </w:style>
  <w:style w:type="character" w:customStyle="1" w:styleId="30">
    <w:name w:val="正文文本缩进 Char"/>
    <w:basedOn w:val="19"/>
    <w:link w:val="3"/>
    <w:qFormat/>
    <w:uiPriority w:val="0"/>
    <w:rPr>
      <w:rFonts w:ascii="宋体" w:hAnsi="宋体" w:eastAsia="宋体" w:cs="Times New Roman"/>
      <w:sz w:val="28"/>
      <w:szCs w:val="20"/>
    </w:rPr>
  </w:style>
  <w:style w:type="character" w:customStyle="1" w:styleId="31">
    <w:name w:val="正文文本缩进 2 Char"/>
    <w:basedOn w:val="19"/>
    <w:link w:val="13"/>
    <w:qFormat/>
    <w:uiPriority w:val="0"/>
    <w:rPr>
      <w:rFonts w:ascii="宋体" w:hAnsi="宋体" w:eastAsia="宋体" w:cs="Times New Roman"/>
      <w:color w:val="000000"/>
      <w:sz w:val="24"/>
      <w:szCs w:val="20"/>
    </w:rPr>
  </w:style>
  <w:style w:type="paragraph" w:customStyle="1" w:styleId="32">
    <w:name w:val="第二章小节标题"/>
    <w:next w:val="10"/>
    <w:qFormat/>
    <w:uiPriority w:val="0"/>
    <w:pPr>
      <w:widowControl w:val="0"/>
      <w:ind w:firstLine="587" w:firstLineChars="209"/>
      <w:outlineLvl w:val="1"/>
    </w:pPr>
    <w:rPr>
      <w:rFonts w:ascii="Times New Roman" w:hAnsi="Times New Roman" w:eastAsia="宋体" w:cs="Times New Roman"/>
      <w:b/>
      <w:kern w:val="2"/>
      <w:sz w:val="28"/>
      <w:szCs w:val="28"/>
      <w:lang w:val="en-US" w:eastAsia="zh-CN" w:bidi="ar-SA"/>
    </w:rPr>
  </w:style>
  <w:style w:type="character" w:customStyle="1" w:styleId="33">
    <w:name w:val="标题 2 Char"/>
    <w:qFormat/>
    <w:uiPriority w:val="0"/>
    <w:rPr>
      <w:rFonts w:ascii="Arial"/>
      <w:sz w:val="32"/>
    </w:rPr>
  </w:style>
  <w:style w:type="paragraph" w:customStyle="1" w:styleId="34">
    <w:name w:val="第二章章标题"/>
    <w:basedOn w:val="1"/>
    <w:next w:val="10"/>
    <w:qFormat/>
    <w:uiPriority w:val="0"/>
    <w:pPr>
      <w:spacing w:beforeLines="50" w:afterLines="50"/>
      <w:ind w:right="-147" w:firstLine="446" w:firstLineChars="185"/>
      <w:jc w:val="left"/>
      <w:outlineLvl w:val="0"/>
    </w:pPr>
    <w:rPr>
      <w:rFonts w:ascii="宋体" w:hAnsi="宋体" w:eastAsia="宋体" w:cs="Times New Roman"/>
      <w:b/>
      <w:bCs/>
      <w:sz w:val="24"/>
      <w:szCs w:val="24"/>
    </w:rPr>
  </w:style>
  <w:style w:type="character" w:customStyle="1" w:styleId="35">
    <w:name w:val="正文文本 Char"/>
    <w:basedOn w:val="19"/>
    <w:link w:val="10"/>
    <w:semiHidden/>
    <w:qFormat/>
    <w:uiPriority w:val="99"/>
    <w:rPr>
      <w:rFonts w:ascii="Times New Roman" w:hAnsi="Times New Roman" w:eastAsia="宋体" w:cs="Times New Roman"/>
      <w:szCs w:val="24"/>
    </w:rPr>
  </w:style>
  <w:style w:type="character" w:customStyle="1" w:styleId="36">
    <w:name w:val="纯文本 Char"/>
    <w:link w:val="11"/>
    <w:qFormat/>
    <w:uiPriority w:val="0"/>
    <w:rPr>
      <w:rFonts w:ascii="宋体" w:hAnsi="Courier New" w:eastAsia="宋体"/>
    </w:rPr>
  </w:style>
  <w:style w:type="character" w:customStyle="1" w:styleId="37">
    <w:name w:val="纯文本 Char1"/>
    <w:basedOn w:val="19"/>
    <w:semiHidden/>
    <w:qFormat/>
    <w:uiPriority w:val="99"/>
    <w:rPr>
      <w:rFonts w:ascii="宋体" w:hAnsi="Courier New" w:eastAsia="宋体" w:cs="Courier New"/>
      <w:szCs w:val="21"/>
    </w:rPr>
  </w:style>
  <w:style w:type="character" w:customStyle="1" w:styleId="38">
    <w:name w:val="日期 Char"/>
    <w:basedOn w:val="19"/>
    <w:link w:val="12"/>
    <w:semiHidden/>
    <w:qFormat/>
    <w:uiPriority w:val="99"/>
    <w:rPr>
      <w:rFonts w:ascii="Times New Roman" w:hAnsi="Times New Roman" w:eastAsia="宋体" w:cs="Times New Roman"/>
      <w:szCs w:val="24"/>
    </w:rPr>
  </w:style>
  <w:style w:type="paragraph" w:styleId="39">
    <w:name w:val="List Paragraph"/>
    <w:basedOn w:val="1"/>
    <w:qFormat/>
    <w:uiPriority w:val="34"/>
    <w:pPr>
      <w:ind w:firstLine="420" w:firstLineChars="200"/>
    </w:pPr>
    <w:rPr>
      <w:rFonts w:ascii="Times New Roman" w:hAnsi="Times New Roman" w:eastAsia="宋体" w:cs="Times New Roman"/>
      <w:szCs w:val="24"/>
    </w:rPr>
  </w:style>
  <w:style w:type="paragraph" w:customStyle="1" w:styleId="40">
    <w:name w:val="Char Char Char Char Char Char Char"/>
    <w:basedOn w:val="1"/>
    <w:qFormat/>
    <w:uiPriority w:val="0"/>
    <w:pPr>
      <w:widowControl/>
      <w:snapToGrid w:val="0"/>
      <w:spacing w:after="160" w:line="360" w:lineRule="auto"/>
      <w:jc w:val="left"/>
    </w:pPr>
    <w:rPr>
      <w:rFonts w:ascii="Times New Roman" w:hAnsi="Times New Roman" w:eastAsia="宋体" w:cs="Times New Roman"/>
      <w:szCs w:val="20"/>
    </w:rPr>
  </w:style>
  <w:style w:type="character" w:customStyle="1" w:styleId="41">
    <w:name w:val="批注文字 Char"/>
    <w:basedOn w:val="19"/>
    <w:link w:val="8"/>
    <w:semiHidden/>
    <w:qFormat/>
    <w:uiPriority w:val="99"/>
    <w:rPr>
      <w:rFonts w:ascii="Times New Roman" w:hAnsi="Times New Roman" w:eastAsia="宋体" w:cs="Times New Roman"/>
      <w:szCs w:val="24"/>
    </w:rPr>
  </w:style>
  <w:style w:type="character" w:customStyle="1" w:styleId="42">
    <w:name w:val="批注框文本 Char"/>
    <w:basedOn w:val="19"/>
    <w:link w:val="14"/>
    <w:semiHidden/>
    <w:qFormat/>
    <w:uiPriority w:val="99"/>
    <w:rPr>
      <w:rFonts w:ascii="Times New Roman" w:hAnsi="Times New Roman" w:eastAsia="宋体" w:cs="Times New Roman"/>
      <w:sz w:val="18"/>
      <w:szCs w:val="18"/>
    </w:rPr>
  </w:style>
  <w:style w:type="character" w:customStyle="1" w:styleId="43">
    <w:name w:val="正文文本 3 Char"/>
    <w:basedOn w:val="19"/>
    <w:link w:val="9"/>
    <w:semiHidden/>
    <w:qFormat/>
    <w:uiPriority w:val="99"/>
    <w:rPr>
      <w:sz w:val="16"/>
      <w:szCs w:val="16"/>
    </w:rPr>
  </w:style>
  <w:style w:type="character" w:customStyle="1" w:styleId="44">
    <w:name w:val="apple-converted-space"/>
    <w:basedOn w:val="19"/>
    <w:qFormat/>
    <w:uiPriority w:val="0"/>
  </w:style>
  <w:style w:type="character" w:customStyle="1" w:styleId="45">
    <w:name w:val="font31"/>
    <w:basedOn w:val="19"/>
    <w:qFormat/>
    <w:uiPriority w:val="0"/>
    <w:rPr>
      <w:rFonts w:hint="eastAsia" w:ascii="微软雅黑" w:hAnsi="微软雅黑" w:eastAsia="微软雅黑" w:cs="微软雅黑"/>
      <w:color w:val="000000"/>
      <w:sz w:val="24"/>
      <w:szCs w:val="24"/>
      <w:u w:val="none"/>
    </w:rPr>
  </w:style>
  <w:style w:type="character" w:customStyle="1" w:styleId="46">
    <w:name w:val="font21"/>
    <w:basedOn w:val="19"/>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2085</Words>
  <Characters>11887</Characters>
  <Lines>99</Lines>
  <Paragraphs>27</Paragraphs>
  <TotalTime>4</TotalTime>
  <ScaleCrop>false</ScaleCrop>
  <LinksUpToDate>false</LinksUpToDate>
  <CharactersWithSpaces>13945</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2021-07-14T02:53:00Z</dcterms:created>
  <dc:creator>dreamsummit</dc:creator>
  <cp:lastModifiedBy>Administrator</cp:lastModifiedBy>
  <dcterms:modified xsi:type="dcterms:W3CDTF">2021-07-14T03:11:08Z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693BE667376A496DA3BA9FDB16017875</vt:lpwstr>
  </property>
</Properties>
</file>