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邀请招标</w:t>
      </w:r>
    </w:p>
    <w:p>
      <w:pPr>
        <w:pStyle w:val="2"/>
        <w:widowControl/>
        <w:spacing w:beforeAutospacing="0" w:afterAutospacing="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烟台鑫广环保科技有限责任公司突发环境事件应急预案修订</w:t>
      </w:r>
    </w:p>
    <w:p>
      <w:pPr>
        <w:pStyle w:val="2"/>
        <w:widowControl/>
        <w:spacing w:beforeAutospacing="0" w:afterAutospacing="0"/>
        <w:jc w:val="center"/>
        <w:rPr>
          <w:rFonts w:ascii="宋体" w:hAnsi="宋体" w:eastAsia="宋体" w:cs="宋体"/>
          <w:sz w:val="24"/>
          <w:szCs w:val="24"/>
        </w:rPr>
      </w:pPr>
    </w:p>
    <w:p>
      <w:pPr>
        <w:pStyle w:val="2"/>
        <w:widowControl/>
        <w:spacing w:beforeAutospacing="0" w:afterAutospacing="0"/>
        <w:ind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一、请于</w:t>
      </w:r>
      <w:r>
        <w:rPr>
          <w:rFonts w:ascii="Calibri" w:hAnsi="Calibri" w:eastAsia="微软雅黑" w:cs="Calibri"/>
          <w:sz w:val="24"/>
          <w:szCs w:val="24"/>
          <w:u w:val="single"/>
        </w:rPr>
        <w:t> </w:t>
      </w:r>
      <w:r>
        <w:rPr>
          <w:rFonts w:hint="eastAsia" w:ascii="Calibri" w:hAnsi="Calibri" w:eastAsia="微软雅黑" w:cs="Calibri"/>
          <w:sz w:val="24"/>
          <w:szCs w:val="24"/>
          <w:u w:val="single"/>
          <w:lang w:val="en-US" w:eastAsia="zh-CN"/>
        </w:rPr>
        <w:t>7</w:t>
      </w:r>
      <w:r>
        <w:rPr>
          <w:rFonts w:ascii="Calibri" w:hAnsi="Calibri" w:eastAsia="微软雅黑" w:cs="Calibri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ascii="Calibri" w:hAnsi="Calibri" w:eastAsia="微软雅黑" w:cs="Calibri"/>
          <w:sz w:val="24"/>
          <w:szCs w:val="24"/>
          <w:u w:val="single"/>
        </w:rPr>
        <w:t xml:space="preserve"> </w:t>
      </w:r>
      <w:r>
        <w:rPr>
          <w:rFonts w:hint="eastAsia" w:ascii="Calibri" w:hAnsi="Calibri" w:eastAsia="微软雅黑" w:cs="Calibri"/>
          <w:sz w:val="24"/>
          <w:szCs w:val="24"/>
          <w:u w:val="single"/>
          <w:lang w:val="en-US" w:eastAsia="zh-CN"/>
        </w:rPr>
        <w:t>5</w:t>
      </w:r>
      <w:r>
        <w:rPr>
          <w:rFonts w:ascii="Calibri" w:hAnsi="Calibri" w:eastAsia="微软雅黑" w:cs="Calibri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日（星期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ascii="Calibri" w:hAnsi="Calibri" w:eastAsia="微软雅黑" w:cs="Calibri"/>
          <w:sz w:val="24"/>
          <w:szCs w:val="24"/>
          <w:u w:val="single"/>
        </w:rPr>
        <w:t xml:space="preserve"> </w:t>
      </w:r>
      <w:r>
        <w:rPr>
          <w:rFonts w:hint="eastAsia" w:ascii="Calibri" w:hAnsi="Calibri" w:eastAsia="微软雅黑" w:cs="Calibri"/>
          <w:sz w:val="24"/>
          <w:szCs w:val="24"/>
          <w:u w:val="single"/>
        </w:rPr>
        <w:t xml:space="preserve"> 10</w:t>
      </w:r>
      <w:r>
        <w:rPr>
          <w:rFonts w:ascii="Calibri" w:hAnsi="Calibri" w:eastAsia="微软雅黑" w:cs="Calibri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时</w:t>
      </w:r>
      <w:r>
        <w:rPr>
          <w:rFonts w:ascii="Calibri" w:hAnsi="Calibri" w:eastAsia="微软雅黑" w:cs="Calibri"/>
          <w:sz w:val="24"/>
          <w:szCs w:val="24"/>
          <w:u w:val="single"/>
        </w:rPr>
        <w:t xml:space="preserve"> </w:t>
      </w:r>
      <w:r>
        <w:rPr>
          <w:rFonts w:hint="eastAsia" w:ascii="Calibri" w:hAnsi="Calibri" w:eastAsia="微软雅黑" w:cs="Calibri"/>
          <w:sz w:val="24"/>
          <w:szCs w:val="24"/>
          <w:u w:val="single"/>
        </w:rPr>
        <w:t xml:space="preserve"> 0 0 </w:t>
      </w:r>
      <w:r>
        <w:rPr>
          <w:rFonts w:hint="eastAsia" w:ascii="宋体" w:hAnsi="宋体" w:eastAsia="宋体" w:cs="宋体"/>
          <w:sz w:val="24"/>
          <w:szCs w:val="24"/>
        </w:rPr>
        <w:t>分前将文件扫描件发至我公司投标专用邮箱：</w:t>
      </w:r>
      <w:r>
        <w:fldChar w:fldCharType="begin"/>
      </w:r>
      <w:r>
        <w:instrText xml:space="preserve"> HYPERLINK "mailto:baojia@lvhuanchina.com" </w:instrText>
      </w:r>
      <w:r>
        <w:fldChar w:fldCharType="separate"/>
      </w:r>
      <w:r>
        <w:rPr>
          <w:rStyle w:val="4"/>
          <w:rFonts w:hint="eastAsia" w:ascii="宋体" w:hAnsi="宋体" w:eastAsia="宋体" w:cs="宋体"/>
          <w:sz w:val="24"/>
          <w:szCs w:val="24"/>
          <w:u w:val="single"/>
        </w:rPr>
        <w:t>baojia@lvhuanchina.com</w:t>
      </w:r>
      <w:r>
        <w:rPr>
          <w:rStyle w:val="4"/>
          <w:rFonts w:hint="eastAsia" w:ascii="宋体" w:hAnsi="宋体" w:eastAsia="宋体" w:cs="宋体"/>
          <w:sz w:val="24"/>
          <w:szCs w:val="24"/>
          <w:u w:val="single"/>
        </w:rPr>
        <w:fldChar w:fldCharType="end"/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。技术联系人：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乔芳 13615451922</w:t>
      </w:r>
    </w:p>
    <w:p>
      <w:pPr>
        <w:widowControl/>
        <w:spacing w:line="360" w:lineRule="auto"/>
        <w:ind w:firstLine="480" w:firstLineChars="200"/>
        <w:rPr>
          <w:rFonts w:ascii="微软雅黑" w:hAnsi="微软雅黑" w:eastAsia="微软雅黑" w:cs="微软雅黑"/>
          <w:b/>
          <w:color w:val="000000"/>
          <w:kern w:val="0"/>
          <w:sz w:val="24"/>
          <w:lang w:bidi="ar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24"/>
          <w:lang w:bidi="ar"/>
        </w:rPr>
        <w:t>二、需要提供文件：</w:t>
      </w:r>
    </w:p>
    <w:p>
      <w:pPr>
        <w:pStyle w:val="2"/>
        <w:widowControl/>
        <w:spacing w:beforeAutospacing="0" w:afterAutospacing="0"/>
        <w:ind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1、盖章的报价汇总表（见附件），报价注明税率（不接受增值税普通发票）；</w:t>
      </w:r>
    </w:p>
    <w:p>
      <w:pPr>
        <w:pStyle w:val="2"/>
        <w:widowControl/>
        <w:spacing w:beforeAutospacing="0" w:afterAutospacing="0"/>
        <w:ind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2、注册环评工程师证书及社保证明；</w:t>
      </w:r>
    </w:p>
    <w:p>
      <w:pPr>
        <w:pStyle w:val="2"/>
        <w:widowControl/>
        <w:spacing w:beforeAutospacing="0" w:afterAutospacing="0"/>
        <w:ind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3、公司情况及服务资质备案证明复印件；</w:t>
      </w:r>
    </w:p>
    <w:p>
      <w:pPr>
        <w:pStyle w:val="2"/>
        <w:widowControl/>
        <w:spacing w:beforeAutospacing="0" w:afterAutospacing="0"/>
        <w:ind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4、项目负责工程师相关业绩清单（危废类项目）</w:t>
      </w:r>
    </w:p>
    <w:p>
      <w:pPr>
        <w:widowControl/>
        <w:spacing w:line="360" w:lineRule="auto"/>
        <w:ind w:firstLine="480" w:firstLineChars="200"/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24"/>
          <w:lang w:bidi="ar"/>
        </w:rPr>
        <w:t xml:space="preserve">三、评标办法 </w:t>
      </w:r>
    </w:p>
    <w:p>
      <w:pPr>
        <w:widowControl/>
        <w:spacing w:line="360" w:lineRule="auto"/>
        <w:ind w:firstLine="480" w:firstLineChars="200"/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本次评标采用综合评分法，总分100分。具体评分细则如下： </w:t>
      </w:r>
    </w:p>
    <w:p>
      <w:pPr>
        <w:widowControl/>
        <w:spacing w:line="360" w:lineRule="auto"/>
        <w:ind w:firstLine="480" w:firstLineChars="200"/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3.1 投标书内容编写完整者为 5分，缺少一项扣 1 分，投标书内容应包括以下几点： </w:t>
      </w:r>
    </w:p>
    <w:p>
      <w:pPr>
        <w:widowControl/>
        <w:spacing w:line="360" w:lineRule="auto"/>
        <w:ind w:firstLine="480" w:firstLineChars="200"/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（1）公司概况 ，涵盖注册资本、注册工程师情况等；</w:t>
      </w:r>
    </w:p>
    <w:p>
      <w:pPr>
        <w:widowControl/>
        <w:tabs>
          <w:tab w:val="left" w:pos="7770"/>
        </w:tabs>
        <w:spacing w:line="360" w:lineRule="auto"/>
        <w:ind w:firstLine="480" w:firstLineChars="200"/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（2）营业执照 ；</w:t>
      </w:r>
    </w:p>
    <w:p>
      <w:pPr>
        <w:widowControl/>
        <w:spacing w:line="360" w:lineRule="auto"/>
        <w:ind w:firstLine="480" w:firstLineChars="200"/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（3）公司指派1-2名（不得超过2名）具有注册环评工程师证书的人员负责该项目报告的编制，提供相应证书，社保证明及其相关业绩清单（附项目合同及验收报告签字页扫描件）。项目业绩范围只提报突发环境事件应急预案编制业绩，行业范围涵盖化工类项目、固废处置及利用等。</w:t>
      </w:r>
    </w:p>
    <w:p>
      <w:pPr>
        <w:widowControl/>
        <w:spacing w:line="360" w:lineRule="auto"/>
        <w:ind w:firstLine="480" w:firstLineChars="200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（4）投标报价（明细）；</w:t>
      </w:r>
    </w:p>
    <w:p>
      <w:pPr>
        <w:widowControl/>
        <w:spacing w:line="360" w:lineRule="auto"/>
        <w:ind w:firstLine="480" w:firstLineChars="200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（5）报价材料盖章。</w:t>
      </w:r>
    </w:p>
    <w:p>
      <w:pPr>
        <w:widowControl/>
        <w:spacing w:line="360" w:lineRule="auto"/>
        <w:ind w:firstLine="480" w:firstLineChars="200"/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3.2 报价 。以报价与平均价的偏差率绝对值计分，总分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25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分。 </w:t>
      </w:r>
    </w:p>
    <w:p>
      <w:pPr>
        <w:widowControl/>
        <w:spacing w:line="360" w:lineRule="auto"/>
        <w:ind w:firstLine="480" w:firstLineChars="200"/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1）偏差率绝对值≤20% 的，得 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25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分； </w:t>
      </w:r>
    </w:p>
    <w:p>
      <w:pPr>
        <w:widowControl/>
        <w:spacing w:line="360" w:lineRule="auto"/>
        <w:ind w:firstLine="480" w:firstLineChars="200"/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2）偏差率绝对值在50%（含50%）内的，得 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20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分； </w:t>
      </w:r>
    </w:p>
    <w:p>
      <w:pPr>
        <w:widowControl/>
        <w:spacing w:line="360" w:lineRule="auto"/>
        <w:ind w:firstLine="480" w:firstLineChars="200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3）偏差率绝对值在50-100%（不含50%,含100%），得 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15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分。 </w:t>
      </w:r>
    </w:p>
    <w:p>
      <w:pPr>
        <w:widowControl/>
        <w:spacing w:line="360" w:lineRule="auto"/>
        <w:ind w:firstLine="480" w:firstLineChars="200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4）偏差率绝对值＞100%（不含100%），得 10分</w:t>
      </w:r>
    </w:p>
    <w:p>
      <w:pPr>
        <w:widowControl/>
        <w:spacing w:line="360" w:lineRule="auto"/>
        <w:ind w:firstLine="480" w:firstLineChars="200"/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3.3 公司注册资本 5分 </w:t>
      </w:r>
    </w:p>
    <w:p>
      <w:pPr>
        <w:widowControl/>
        <w:spacing w:line="360" w:lineRule="auto"/>
        <w:ind w:firstLine="480" w:firstLineChars="200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（1）注册资本＜200万的，得0分； </w:t>
      </w:r>
    </w:p>
    <w:p>
      <w:pPr>
        <w:widowControl/>
        <w:spacing w:line="360" w:lineRule="auto"/>
        <w:ind w:firstLine="480" w:firstLineChars="200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（2）注册资本在200-500万的，得2分；</w:t>
      </w:r>
    </w:p>
    <w:p>
      <w:pPr>
        <w:widowControl/>
        <w:spacing w:line="360" w:lineRule="auto"/>
        <w:ind w:firstLine="480" w:firstLineChars="200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（3）注册资本＞500万，得5分。</w:t>
      </w:r>
    </w:p>
    <w:p>
      <w:pPr>
        <w:widowControl/>
        <w:spacing w:line="360" w:lineRule="auto"/>
        <w:ind w:firstLine="480" w:firstLineChars="200"/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3.4 拟指派工程师业绩（人数限制在2人内）总分40分。不在规定范围内的不予统计。</w:t>
      </w:r>
    </w:p>
    <w:p>
      <w:pPr>
        <w:widowControl/>
        <w:spacing w:line="360" w:lineRule="auto"/>
        <w:ind w:firstLine="480" w:firstLineChars="200"/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（1）业绩数量大于10的，得40 分 。</w:t>
      </w:r>
    </w:p>
    <w:p>
      <w:pPr>
        <w:widowControl/>
        <w:spacing w:line="360" w:lineRule="auto"/>
        <w:ind w:firstLine="480" w:firstLineChars="200"/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（2）业绩数量为5-10（含5，不含10），得 30 分。 </w:t>
      </w:r>
    </w:p>
    <w:p>
      <w:pPr>
        <w:widowControl/>
        <w:spacing w:line="360" w:lineRule="auto"/>
        <w:ind w:firstLine="480" w:firstLineChars="200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（3）业绩数量3-5（含3，不含5），得 20 分。</w:t>
      </w:r>
    </w:p>
    <w:p>
      <w:pPr>
        <w:widowControl/>
        <w:spacing w:line="360" w:lineRule="auto"/>
        <w:ind w:firstLine="480" w:firstLineChars="200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（4）业绩数量≤2的，得10分。</w:t>
      </w:r>
    </w:p>
    <w:p>
      <w:pPr>
        <w:widowControl/>
        <w:spacing w:line="360" w:lineRule="auto"/>
        <w:ind w:firstLine="480" w:firstLineChars="200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3.5 注册环评工程师数量，以在本单位缴纳社保人数为准。总分10分</w:t>
      </w:r>
    </w:p>
    <w:p>
      <w:pPr>
        <w:widowControl/>
        <w:spacing w:line="360" w:lineRule="auto"/>
        <w:ind w:firstLine="480" w:firstLineChars="200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（1）注册环评工程师数量≥8的，得10分；</w:t>
      </w:r>
    </w:p>
    <w:p>
      <w:pPr>
        <w:widowControl/>
        <w:spacing w:line="360" w:lineRule="auto"/>
        <w:ind w:firstLine="480" w:firstLineChars="200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（2）注册环评工程师数量在4-7（含7）之间的，得5分；</w:t>
      </w:r>
    </w:p>
    <w:p>
      <w:pPr>
        <w:widowControl/>
        <w:spacing w:line="360" w:lineRule="auto"/>
        <w:ind w:firstLine="480" w:firstLineChars="200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（3）注册环评工程师数量≤3的，得2分；</w:t>
      </w:r>
    </w:p>
    <w:p>
      <w:pPr>
        <w:widowControl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 xml:space="preserve">3.6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认证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证书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，质量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管理体系、环境管理体系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和职业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健康安全管理体系。总分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15分</w:t>
      </w:r>
    </w:p>
    <w:p>
      <w:pPr>
        <w:widowControl/>
        <w:spacing w:line="360" w:lineRule="auto"/>
        <w:ind w:firstLine="480" w:firstLineChars="200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（1）具备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上述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三项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认证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证书，得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15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分； </w:t>
      </w:r>
    </w:p>
    <w:p>
      <w:pPr>
        <w:widowControl/>
        <w:spacing w:line="360" w:lineRule="auto"/>
        <w:ind w:firstLine="480" w:firstLineChars="200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（2）具备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上述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两项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认证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证书，得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10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分；</w:t>
      </w:r>
    </w:p>
    <w:p>
      <w:pPr>
        <w:widowControl/>
        <w:spacing w:line="360" w:lineRule="auto"/>
        <w:ind w:firstLine="480" w:firstLineChars="200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（3）具备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上述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一项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认证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证书，得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分。</w:t>
      </w:r>
    </w:p>
    <w:p>
      <w:pPr>
        <w:widowControl/>
        <w:spacing w:line="360" w:lineRule="auto"/>
        <w:ind w:firstLine="480" w:firstLineChars="200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（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）不具备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上述认证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证书，得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0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分。</w:t>
      </w:r>
    </w:p>
    <w:p>
      <w:pPr>
        <w:widowControl/>
        <w:spacing w:line="360" w:lineRule="auto"/>
        <w:ind w:firstLine="480" w:firstLineChars="200"/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3.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一票否决的情况说明 </w:t>
      </w:r>
    </w:p>
    <w:p>
      <w:pPr>
        <w:widowControl/>
        <w:spacing w:line="360" w:lineRule="auto"/>
        <w:ind w:firstLine="480" w:firstLineChars="200"/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（1）受到生态环境部门通报批评的； </w:t>
      </w:r>
    </w:p>
    <w:p>
      <w:pPr>
        <w:widowControl/>
        <w:spacing w:line="360" w:lineRule="auto"/>
        <w:ind w:firstLine="480" w:firstLineChars="200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（2）社会信用评价不良的；</w:t>
      </w:r>
    </w:p>
    <w:p>
      <w:pPr>
        <w:widowControl/>
        <w:spacing w:line="360" w:lineRule="auto"/>
        <w:ind w:firstLine="480" w:firstLineChars="200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（3）拟用工程师无相关业绩的。 </w:t>
      </w:r>
    </w:p>
    <w:p>
      <w:pPr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br w:type="page"/>
      </w:r>
    </w:p>
    <w:p>
      <w:pPr>
        <w:widowControl/>
        <w:spacing w:line="360" w:lineRule="auto"/>
        <w:ind w:firstLine="480" w:firstLineChars="200"/>
        <w:rPr>
          <w:rFonts w:ascii="宋体" w:hAnsi="宋体" w:eastAsia="宋体" w:cs="宋体"/>
          <w:color w:val="000000"/>
          <w:kern w:val="0"/>
          <w:sz w:val="24"/>
          <w:lang w:bidi="ar"/>
        </w:rPr>
      </w:pP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附件：</w:t>
      </w:r>
    </w:p>
    <w:tbl>
      <w:tblPr>
        <w:tblStyle w:val="5"/>
        <w:tblW w:w="852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1940"/>
        <w:gridCol w:w="1589"/>
        <w:gridCol w:w="1561"/>
        <w:gridCol w:w="172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项目名称</w:t>
            </w:r>
          </w:p>
        </w:tc>
        <w:tc>
          <w:tcPr>
            <w:tcW w:w="1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投标价格</w:t>
            </w:r>
          </w:p>
        </w:tc>
        <w:tc>
          <w:tcPr>
            <w:tcW w:w="15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编制完成时间</w:t>
            </w:r>
          </w:p>
        </w:tc>
        <w:tc>
          <w:tcPr>
            <w:tcW w:w="15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提供内容</w:t>
            </w:r>
          </w:p>
        </w:tc>
        <w:tc>
          <w:tcPr>
            <w:tcW w:w="17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烟台鑫广环保科技有限责任公司应急预案修订</w:t>
            </w:r>
          </w:p>
          <w:p>
            <w:pPr>
              <w:pStyle w:val="2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eastAsia="微软雅黑" w:cs="Calibri"/>
                <w:sz w:val="21"/>
                <w:szCs w:val="21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eastAsia="微软雅黑" w:cs="Calibri"/>
                <w:sz w:val="21"/>
                <w:szCs w:val="21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eastAsia="微软雅黑" w:cs="Calibri"/>
                <w:sz w:val="21"/>
                <w:szCs w:val="21"/>
              </w:rPr>
            </w:pPr>
            <w:r>
              <w:rPr>
                <w:rFonts w:hint="eastAsia" w:ascii="Calibri" w:hAnsi="Calibri" w:eastAsia="微软雅黑" w:cs="Calibri"/>
                <w:sz w:val="21"/>
                <w:szCs w:val="21"/>
              </w:rPr>
              <w:t>明确报告本数、专家费用等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eastAsia="微软雅黑" w:cs="Calibri"/>
                <w:sz w:val="21"/>
                <w:szCs w:val="21"/>
              </w:rPr>
            </w:pPr>
            <w:r>
              <w:rPr>
                <w:rFonts w:hint="eastAsia" w:ascii="Calibri" w:hAnsi="Calibri" w:eastAsia="微软雅黑" w:cs="Calibri"/>
                <w:sz w:val="21"/>
                <w:szCs w:val="21"/>
              </w:rPr>
              <w:t>报价时酌情考虑工作量（该公司仅有1个项目）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付款方式</w:t>
            </w:r>
          </w:p>
        </w:tc>
        <w:tc>
          <w:tcPr>
            <w:tcW w:w="681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b/>
                <w:bCs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C00000"/>
                <w:sz w:val="22"/>
                <w:szCs w:val="22"/>
              </w:rPr>
              <w:t>完成备案后次月一次性电汇付款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。</w:t>
            </w:r>
          </w:p>
        </w:tc>
      </w:tr>
    </w:tbl>
    <w:p>
      <w:pPr>
        <w:rPr>
          <w:rFonts w:ascii="宋体" w:hAnsi="宋体" w:eastAsia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FAB"/>
    <w:rsid w:val="000A14B7"/>
    <w:rsid w:val="00135FAB"/>
    <w:rsid w:val="001A7FC8"/>
    <w:rsid w:val="002E4652"/>
    <w:rsid w:val="003377A6"/>
    <w:rsid w:val="00413BB5"/>
    <w:rsid w:val="0043694D"/>
    <w:rsid w:val="00457C30"/>
    <w:rsid w:val="005038D5"/>
    <w:rsid w:val="00530FD7"/>
    <w:rsid w:val="005C33FD"/>
    <w:rsid w:val="00630EFE"/>
    <w:rsid w:val="007F1261"/>
    <w:rsid w:val="00A74EE8"/>
    <w:rsid w:val="00A97BA6"/>
    <w:rsid w:val="00AB04FD"/>
    <w:rsid w:val="00AE516B"/>
    <w:rsid w:val="00BA3BD3"/>
    <w:rsid w:val="00DA1FD4"/>
    <w:rsid w:val="00DA3A22"/>
    <w:rsid w:val="01FB3C7F"/>
    <w:rsid w:val="02DB2494"/>
    <w:rsid w:val="032F2D7E"/>
    <w:rsid w:val="042C7BAC"/>
    <w:rsid w:val="063C0F67"/>
    <w:rsid w:val="06F86377"/>
    <w:rsid w:val="096B7B9F"/>
    <w:rsid w:val="09B64C35"/>
    <w:rsid w:val="0B092BDB"/>
    <w:rsid w:val="0CF91A25"/>
    <w:rsid w:val="0D8E2EF0"/>
    <w:rsid w:val="0E8A4ECC"/>
    <w:rsid w:val="0F0712BD"/>
    <w:rsid w:val="11925612"/>
    <w:rsid w:val="12A76BC2"/>
    <w:rsid w:val="13673689"/>
    <w:rsid w:val="14F50276"/>
    <w:rsid w:val="15C326F7"/>
    <w:rsid w:val="15DA0293"/>
    <w:rsid w:val="16AF5A02"/>
    <w:rsid w:val="18637889"/>
    <w:rsid w:val="190A2F35"/>
    <w:rsid w:val="1A8054ED"/>
    <w:rsid w:val="1AC3763D"/>
    <w:rsid w:val="1C4F3E21"/>
    <w:rsid w:val="1C990A1F"/>
    <w:rsid w:val="1D604A6E"/>
    <w:rsid w:val="1D8147C0"/>
    <w:rsid w:val="1DDB238A"/>
    <w:rsid w:val="20111DA6"/>
    <w:rsid w:val="21FD7145"/>
    <w:rsid w:val="22105404"/>
    <w:rsid w:val="24EE21D6"/>
    <w:rsid w:val="254B68CE"/>
    <w:rsid w:val="275B71BB"/>
    <w:rsid w:val="28343929"/>
    <w:rsid w:val="283A7C90"/>
    <w:rsid w:val="28830AE4"/>
    <w:rsid w:val="2A312575"/>
    <w:rsid w:val="2C1A71FF"/>
    <w:rsid w:val="2DE859B3"/>
    <w:rsid w:val="2EA8141A"/>
    <w:rsid w:val="2F1C2E5C"/>
    <w:rsid w:val="2FA632B1"/>
    <w:rsid w:val="2FD118AA"/>
    <w:rsid w:val="343A6677"/>
    <w:rsid w:val="3454775F"/>
    <w:rsid w:val="35CE7400"/>
    <w:rsid w:val="37C34FC2"/>
    <w:rsid w:val="3A035F55"/>
    <w:rsid w:val="3DDA47C7"/>
    <w:rsid w:val="3EC12C8D"/>
    <w:rsid w:val="408658E7"/>
    <w:rsid w:val="41670B50"/>
    <w:rsid w:val="44021277"/>
    <w:rsid w:val="44632ADF"/>
    <w:rsid w:val="46E23CEB"/>
    <w:rsid w:val="4A0D60E1"/>
    <w:rsid w:val="4A4720C3"/>
    <w:rsid w:val="4BD033B3"/>
    <w:rsid w:val="4C9F4931"/>
    <w:rsid w:val="4CE749B7"/>
    <w:rsid w:val="4D1D149B"/>
    <w:rsid w:val="4DB83328"/>
    <w:rsid w:val="4E643063"/>
    <w:rsid w:val="4EE56FD0"/>
    <w:rsid w:val="4F557602"/>
    <w:rsid w:val="51374339"/>
    <w:rsid w:val="52766312"/>
    <w:rsid w:val="531E7A75"/>
    <w:rsid w:val="538A1925"/>
    <w:rsid w:val="539B0905"/>
    <w:rsid w:val="5522633F"/>
    <w:rsid w:val="55E0762D"/>
    <w:rsid w:val="56C85E8A"/>
    <w:rsid w:val="56D27E48"/>
    <w:rsid w:val="56D46A97"/>
    <w:rsid w:val="582F0FA6"/>
    <w:rsid w:val="5A6C4CDA"/>
    <w:rsid w:val="5B41203A"/>
    <w:rsid w:val="5EE07FD9"/>
    <w:rsid w:val="5F0F3774"/>
    <w:rsid w:val="60B76021"/>
    <w:rsid w:val="61B025A5"/>
    <w:rsid w:val="62BE5CC8"/>
    <w:rsid w:val="62BE64AB"/>
    <w:rsid w:val="63D95D61"/>
    <w:rsid w:val="66825441"/>
    <w:rsid w:val="66A539C6"/>
    <w:rsid w:val="67E57773"/>
    <w:rsid w:val="68EB75BF"/>
    <w:rsid w:val="69A22D1A"/>
    <w:rsid w:val="69F33E29"/>
    <w:rsid w:val="6B2878A0"/>
    <w:rsid w:val="6D0344F5"/>
    <w:rsid w:val="6D433CE9"/>
    <w:rsid w:val="6D874E61"/>
    <w:rsid w:val="6DE265A0"/>
    <w:rsid w:val="711C07A2"/>
    <w:rsid w:val="71282366"/>
    <w:rsid w:val="71414581"/>
    <w:rsid w:val="74312F99"/>
    <w:rsid w:val="76B0525E"/>
    <w:rsid w:val="798A6188"/>
    <w:rsid w:val="7D666F62"/>
    <w:rsid w:val="7D75757E"/>
    <w:rsid w:val="7DA7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 w:line="360" w:lineRule="auto"/>
      <w:jc w:val="left"/>
    </w:pPr>
    <w:rPr>
      <w:rFonts w:cs="Times New Roman"/>
      <w:kern w:val="0"/>
      <w:sz w:val="18"/>
      <w:szCs w:val="18"/>
    </w:rPr>
  </w:style>
  <w:style w:type="character" w:styleId="4">
    <w:name w:val="Hyperlink"/>
    <w:basedOn w:val="3"/>
    <w:qFormat/>
    <w:uiPriority w:val="0"/>
    <w:rPr>
      <w:color w:val="0657AB"/>
      <w:u w:val="none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2012dnd.com</Company>
  <Pages>3</Pages>
  <Words>197</Words>
  <Characters>1124</Characters>
  <Lines>9</Lines>
  <Paragraphs>2</Paragraphs>
  <TotalTime>0</TotalTime>
  <ScaleCrop>false</ScaleCrop>
  <LinksUpToDate>false</LinksUpToDate>
  <CharactersWithSpaces>1319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zhanghuaan</dc:creator>
  <cp:lastModifiedBy>Windows10</cp:lastModifiedBy>
  <dcterms:modified xsi:type="dcterms:W3CDTF">2021-06-28T08:55:15Z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626D575632964CE2A90DB4A2BE75E525</vt:lpwstr>
  </property>
</Properties>
</file>