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ind w:left="399" w:leftChars="190" w:firstLine="402" w:firstLineChars="100"/>
        <w:rPr>
          <w:rFonts w:ascii="Calibri" w:hAnsi="Calibri" w:eastAsia="宋体" w:cs="宋体"/>
          <w:color w:val="000000"/>
          <w:kern w:val="0"/>
          <w:szCs w:val="21"/>
        </w:rPr>
      </w:pPr>
      <w:bookmarkStart w:id="0" w:name="_GoBack"/>
      <w:bookmarkEnd w:id="0"/>
      <w:r>
        <w:rPr>
          <w:rFonts w:hint="eastAsia" w:ascii="宋体" w:hAnsi="宋体" w:cs="Arial"/>
          <w:b/>
          <w:color w:val="000000"/>
          <w:sz w:val="40"/>
          <w:szCs w:val="40"/>
          <w:u w:val="single"/>
        </w:rPr>
        <w:t>家电车间</w:t>
      </w:r>
      <w:r>
        <w:rPr>
          <w:rFonts w:hint="eastAsia" w:ascii="宋体" w:hAnsi="宋体" w:cs="Arial"/>
          <w:b/>
          <w:color w:val="000000"/>
          <w:sz w:val="40"/>
          <w:szCs w:val="40"/>
          <w:u w:val="single"/>
        </w:rPr>
        <w:t>CRT切割</w:t>
      </w:r>
      <w:r>
        <w:rPr>
          <w:rFonts w:hint="eastAsia" w:ascii="宋体" w:hAnsi="宋体" w:cs="Arial"/>
          <w:b/>
          <w:color w:val="000000"/>
          <w:sz w:val="40"/>
          <w:szCs w:val="40"/>
          <w:u w:val="single"/>
          <w:lang w:eastAsia="zh-CN"/>
        </w:rPr>
        <w:t>电加热套丝机</w:t>
      </w:r>
      <w:r>
        <w:rPr>
          <w:rFonts w:hint="eastAsia" w:ascii="宋体" w:hAnsi="宋体" w:cs="Arial"/>
          <w:b/>
          <w:color w:val="000000"/>
          <w:sz w:val="40"/>
          <w:szCs w:val="40"/>
          <w:u w:val="single"/>
        </w:rPr>
        <w:t>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adjustRightInd w:val="0"/>
        <w:snapToGrid w:val="0"/>
        <w:spacing w:beforeLines="50"/>
        <w:ind w:left="241" w:hanging="240" w:hangingChars="100"/>
        <w:rPr>
          <w:rFonts w:hint="eastAsia" w:ascii="宋体" w:hAnsi="宋体" w:cs="Arial" w:eastAsiaTheme="minorEastAsia"/>
          <w:sz w:val="24"/>
          <w:szCs w:val="24"/>
          <w:lang w:eastAsia="zh-CN"/>
        </w:rPr>
      </w:pPr>
      <w:r>
        <w:rPr>
          <w:rFonts w:hint="eastAsia" w:ascii="宋体" w:hAnsi="宋体" w:cs="Arial"/>
          <w:sz w:val="24"/>
          <w:szCs w:val="24"/>
        </w:rPr>
        <w:t>鑫广绿环再生资源股份有限公司现对家电车间</w:t>
      </w:r>
      <w:r>
        <w:rPr>
          <w:rFonts w:hint="eastAsia" w:ascii="宋体" w:hAnsi="宋体" w:cs="Arial"/>
          <w:sz w:val="24"/>
          <w:szCs w:val="24"/>
        </w:rPr>
        <w:t>CRT切割</w:t>
      </w:r>
      <w:r>
        <w:rPr>
          <w:rFonts w:hint="eastAsia" w:ascii="宋体" w:hAnsi="宋体" w:cs="Arial"/>
          <w:sz w:val="24"/>
          <w:szCs w:val="24"/>
          <w:lang w:eastAsia="zh-CN"/>
        </w:rPr>
        <w:t>电加热套丝机</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1"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项目内容：家电车间</w:t>
      </w:r>
      <w:r>
        <w:rPr>
          <w:rFonts w:hint="eastAsia" w:ascii="宋体" w:hAnsi="宋体" w:cs="Arial"/>
          <w:sz w:val="24"/>
          <w:szCs w:val="24"/>
        </w:rPr>
        <w:t>CRT切割</w:t>
      </w:r>
      <w:r>
        <w:rPr>
          <w:rFonts w:hint="eastAsia" w:ascii="宋体" w:hAnsi="宋体" w:cs="Arial"/>
          <w:sz w:val="24"/>
          <w:szCs w:val="24"/>
          <w:lang w:eastAsia="zh-CN"/>
        </w:rPr>
        <w:t>电加热套丝机。</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21年1月15日（周五）。</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21年1月20日12：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3.6技术答疑部门：崔经理（电话18563816006）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20年1月20日14：0</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家电车间</w:t>
      </w:r>
      <w:r>
        <w:rPr>
          <w:rFonts w:hint="eastAsia" w:ascii="宋体" w:hAnsi="宋体" w:cs="Arial"/>
          <w:sz w:val="24"/>
          <w:szCs w:val="24"/>
        </w:rPr>
        <w:t>CRT切割</w:t>
      </w:r>
      <w:r>
        <w:rPr>
          <w:rFonts w:hint="eastAsia" w:ascii="宋体" w:hAnsi="宋体" w:cs="Arial"/>
          <w:sz w:val="24"/>
          <w:szCs w:val="24"/>
          <w:lang w:eastAsia="zh-CN"/>
        </w:rPr>
        <w:t>电加热套丝机。</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为合同定金），设备到货验收后支付45%，剩余5%为质保金验收之日起满1年支付。其中50%的款项为银行电子承兑汇票。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1" w:hanging="241" w:hangingChars="100"/>
        <w:rPr>
          <w:rFonts w:hint="eastAsia" w:ascii="宋体" w:hAnsi="宋体" w:cs="Arial" w:eastAsiaTheme="minorEastAsia"/>
          <w:sz w:val="24"/>
          <w:szCs w:val="24"/>
          <w:lang w:eastAsia="zh-CN"/>
        </w:rPr>
      </w:pPr>
      <w:r>
        <w:rPr>
          <w:rFonts w:hint="eastAsia" w:ascii="宋体" w:hAnsi="宋体" w:eastAsia="宋体" w:cs="宋体"/>
          <w:b/>
          <w:bCs/>
          <w:color w:val="000000"/>
          <w:kern w:val="0"/>
          <w:sz w:val="24"/>
          <w:szCs w:val="24"/>
        </w:rPr>
        <w:t>项目名称：</w:t>
      </w:r>
      <w:r>
        <w:rPr>
          <w:rFonts w:hint="eastAsia" w:ascii="宋体" w:hAnsi="宋体" w:cs="Arial"/>
          <w:sz w:val="24"/>
          <w:szCs w:val="24"/>
        </w:rPr>
        <w:t>家电车间CRT切割</w:t>
      </w:r>
      <w:r>
        <w:rPr>
          <w:rFonts w:hint="eastAsia" w:ascii="宋体" w:hAnsi="宋体" w:cs="Arial"/>
          <w:sz w:val="24"/>
          <w:szCs w:val="24"/>
          <w:lang w:eastAsia="zh-CN"/>
        </w:rPr>
        <w:t>电加热套丝机</w:t>
      </w:r>
    </w:p>
    <w:tbl>
      <w:tblPr>
        <w:tblStyle w:val="5"/>
        <w:tblW w:w="10804" w:type="dxa"/>
        <w:tblInd w:w="-1241" w:type="dxa"/>
        <w:shd w:val="clear" w:color="auto" w:fill="FFFFFF"/>
        <w:tblLayout w:type="autofit"/>
        <w:tblCellMar>
          <w:top w:w="0" w:type="dxa"/>
          <w:left w:w="0" w:type="dxa"/>
          <w:bottom w:w="0" w:type="dxa"/>
          <w:right w:w="0" w:type="dxa"/>
        </w:tblCellMar>
      </w:tblPr>
      <w:tblGrid>
        <w:gridCol w:w="1548"/>
        <w:gridCol w:w="1502"/>
        <w:gridCol w:w="1134"/>
        <w:gridCol w:w="1701"/>
        <w:gridCol w:w="1985"/>
        <w:gridCol w:w="2934"/>
      </w:tblGrid>
      <w:tr>
        <w:tblPrEx>
          <w:shd w:val="clear" w:color="auto" w:fill="FFFFFF"/>
          <w:tblCellMar>
            <w:top w:w="0" w:type="dxa"/>
            <w:left w:w="0" w:type="dxa"/>
            <w:bottom w:w="0" w:type="dxa"/>
            <w:right w:w="0" w:type="dxa"/>
          </w:tblCellMar>
        </w:tblPrEx>
        <w:tc>
          <w:tcPr>
            <w:tcW w:w="15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rPr>
          <w:trHeight w:val="609"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台</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98"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8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15天</w:t>
            </w:r>
          </w:p>
        </w:tc>
      </w:tr>
      <w:tr>
        <w:tblPrEx>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，安装验收后支付45%，剩余5%为质保金验收之日起满1年支付.其中50%的款项为银行电子承兑汇票。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增值税发票和运费及安装调试费用。</w:t>
      </w:r>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15404"/>
    <w:rsid w:val="00025FAC"/>
    <w:rsid w:val="00040F0E"/>
    <w:rsid w:val="00045592"/>
    <w:rsid w:val="000618D4"/>
    <w:rsid w:val="00071144"/>
    <w:rsid w:val="000A2EF0"/>
    <w:rsid w:val="000C0250"/>
    <w:rsid w:val="000C382A"/>
    <w:rsid w:val="000C410F"/>
    <w:rsid w:val="000D681A"/>
    <w:rsid w:val="000E563C"/>
    <w:rsid w:val="00142897"/>
    <w:rsid w:val="00144BCF"/>
    <w:rsid w:val="00156F61"/>
    <w:rsid w:val="00156F80"/>
    <w:rsid w:val="00163BC7"/>
    <w:rsid w:val="001742A8"/>
    <w:rsid w:val="00175A9D"/>
    <w:rsid w:val="00181E36"/>
    <w:rsid w:val="001B15F0"/>
    <w:rsid w:val="00224475"/>
    <w:rsid w:val="0025310E"/>
    <w:rsid w:val="00267035"/>
    <w:rsid w:val="00286795"/>
    <w:rsid w:val="002F417D"/>
    <w:rsid w:val="00302D66"/>
    <w:rsid w:val="00304760"/>
    <w:rsid w:val="003057A3"/>
    <w:rsid w:val="003271A4"/>
    <w:rsid w:val="00335472"/>
    <w:rsid w:val="00344F57"/>
    <w:rsid w:val="0036217E"/>
    <w:rsid w:val="00372150"/>
    <w:rsid w:val="00382655"/>
    <w:rsid w:val="0039013A"/>
    <w:rsid w:val="003B5F9F"/>
    <w:rsid w:val="003C5C95"/>
    <w:rsid w:val="003C6F7F"/>
    <w:rsid w:val="003F7F32"/>
    <w:rsid w:val="00450BF7"/>
    <w:rsid w:val="0048223B"/>
    <w:rsid w:val="004A0767"/>
    <w:rsid w:val="004B5FA5"/>
    <w:rsid w:val="004D1947"/>
    <w:rsid w:val="004E138E"/>
    <w:rsid w:val="004E4E03"/>
    <w:rsid w:val="00505527"/>
    <w:rsid w:val="00512E43"/>
    <w:rsid w:val="005209B5"/>
    <w:rsid w:val="00553E8B"/>
    <w:rsid w:val="00575C04"/>
    <w:rsid w:val="005A4D44"/>
    <w:rsid w:val="005A6410"/>
    <w:rsid w:val="005D2C84"/>
    <w:rsid w:val="005E5CC3"/>
    <w:rsid w:val="005F0263"/>
    <w:rsid w:val="00607A01"/>
    <w:rsid w:val="00615783"/>
    <w:rsid w:val="00632B90"/>
    <w:rsid w:val="006412C1"/>
    <w:rsid w:val="006623CF"/>
    <w:rsid w:val="00664629"/>
    <w:rsid w:val="00695433"/>
    <w:rsid w:val="006B6216"/>
    <w:rsid w:val="006C002B"/>
    <w:rsid w:val="006C4F8B"/>
    <w:rsid w:val="00705D49"/>
    <w:rsid w:val="00710AF0"/>
    <w:rsid w:val="00713C95"/>
    <w:rsid w:val="00730A08"/>
    <w:rsid w:val="007319C9"/>
    <w:rsid w:val="0074107E"/>
    <w:rsid w:val="00755B9E"/>
    <w:rsid w:val="00763450"/>
    <w:rsid w:val="00785693"/>
    <w:rsid w:val="00791BE1"/>
    <w:rsid w:val="007A1350"/>
    <w:rsid w:val="007A2576"/>
    <w:rsid w:val="007D5026"/>
    <w:rsid w:val="008329EB"/>
    <w:rsid w:val="00832F80"/>
    <w:rsid w:val="00845F49"/>
    <w:rsid w:val="00852484"/>
    <w:rsid w:val="00855D00"/>
    <w:rsid w:val="008607B3"/>
    <w:rsid w:val="008733B6"/>
    <w:rsid w:val="00877EF1"/>
    <w:rsid w:val="00883654"/>
    <w:rsid w:val="008B05C7"/>
    <w:rsid w:val="008E234C"/>
    <w:rsid w:val="008E58EC"/>
    <w:rsid w:val="008E63AE"/>
    <w:rsid w:val="008F5810"/>
    <w:rsid w:val="008F6DFA"/>
    <w:rsid w:val="009A1747"/>
    <w:rsid w:val="009A7B3A"/>
    <w:rsid w:val="009F10BA"/>
    <w:rsid w:val="00A1247B"/>
    <w:rsid w:val="00A15A8D"/>
    <w:rsid w:val="00A4367E"/>
    <w:rsid w:val="00A54250"/>
    <w:rsid w:val="00A557E9"/>
    <w:rsid w:val="00A7377B"/>
    <w:rsid w:val="00A75594"/>
    <w:rsid w:val="00B2599F"/>
    <w:rsid w:val="00B67268"/>
    <w:rsid w:val="00B85243"/>
    <w:rsid w:val="00BA614A"/>
    <w:rsid w:val="00BE5B46"/>
    <w:rsid w:val="00BF78B3"/>
    <w:rsid w:val="00C07DC0"/>
    <w:rsid w:val="00C202F1"/>
    <w:rsid w:val="00C2117D"/>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3021"/>
    <w:rsid w:val="00D47B16"/>
    <w:rsid w:val="00D72A95"/>
    <w:rsid w:val="00D778C0"/>
    <w:rsid w:val="00D97BEB"/>
    <w:rsid w:val="00DC24E1"/>
    <w:rsid w:val="00DE5125"/>
    <w:rsid w:val="00DF072A"/>
    <w:rsid w:val="00E134CD"/>
    <w:rsid w:val="00E2479E"/>
    <w:rsid w:val="00E431E9"/>
    <w:rsid w:val="00E72628"/>
    <w:rsid w:val="00E77A0A"/>
    <w:rsid w:val="00E839AF"/>
    <w:rsid w:val="00E87099"/>
    <w:rsid w:val="00EB1C34"/>
    <w:rsid w:val="00EB200D"/>
    <w:rsid w:val="00EC1B56"/>
    <w:rsid w:val="00EC2EDB"/>
    <w:rsid w:val="00EC448C"/>
    <w:rsid w:val="00EF30F9"/>
    <w:rsid w:val="00EF76BA"/>
    <w:rsid w:val="00F1034D"/>
    <w:rsid w:val="00F25100"/>
    <w:rsid w:val="00F45FA3"/>
    <w:rsid w:val="00F63B09"/>
    <w:rsid w:val="00F81E7A"/>
    <w:rsid w:val="00FA433A"/>
    <w:rsid w:val="00FB76E7"/>
    <w:rsid w:val="00FC2D69"/>
    <w:rsid w:val="00FD4202"/>
    <w:rsid w:val="00FE4DB3"/>
    <w:rsid w:val="00FF15C5"/>
    <w:rsid w:val="00FF3A97"/>
    <w:rsid w:val="00FF7CCF"/>
    <w:rsid w:val="67C5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286</Words>
  <Characters>1636</Characters>
  <Lines>13</Lines>
  <Paragraphs>3</Paragraphs>
  <TotalTime>0</TotalTime>
  <ScaleCrop>false</ScaleCrop>
  <LinksUpToDate>false</LinksUpToDate>
  <CharactersWithSpaces>1919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2021-01-15T06:15:58Z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