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center"/>
        <w:rPr>
          <w:rFonts w:ascii="楷体" w:hAnsi="楷体" w:eastAsia="楷体" w:cs="楷体"/>
          <w:b/>
          <w:color w:val="000000"/>
          <w:kern w:val="0"/>
          <w:sz w:val="84"/>
          <w:szCs w:val="84"/>
          <w:lang w:val="en-US" w:eastAsia="zh-CN" w:bidi="ar"/>
        </w:rPr>
      </w:pPr>
    </w:p>
    <w:p>
      <w:pPr>
        <w:keepNext w:val="0"/>
        <w:keepLines w:val="0"/>
        <w:widowControl/>
        <w:suppressLineNumbers w:val="0"/>
        <w:jc w:val="center"/>
        <w:rPr>
          <w:rFonts w:ascii="楷体" w:hAnsi="楷体" w:eastAsia="楷体" w:cs="楷体"/>
          <w:b/>
          <w:color w:val="000000"/>
          <w:kern w:val="0"/>
          <w:sz w:val="84"/>
          <w:szCs w:val="84"/>
          <w:lang w:val="en-US" w:eastAsia="zh-CN" w:bidi="ar"/>
        </w:rPr>
      </w:pPr>
      <w:r>
        <w:rPr>
          <w:rFonts w:ascii="楷体" w:hAnsi="楷体" w:eastAsia="楷体" w:cs="楷体"/>
          <w:b/>
          <w:color w:val="000000"/>
          <w:kern w:val="0"/>
          <w:sz w:val="84"/>
          <w:szCs w:val="84"/>
          <w:lang w:val="en-US" w:eastAsia="zh-CN" w:bidi="ar"/>
        </w:rPr>
        <w:t>招标</w:t>
      </w:r>
    </w:p>
    <w:p>
      <w:pPr>
        <w:keepNext w:val="0"/>
        <w:keepLines w:val="0"/>
        <w:widowControl/>
        <w:suppressLineNumbers w:val="0"/>
        <w:jc w:val="center"/>
        <w:rPr>
          <w:rFonts w:ascii="楷体" w:hAnsi="楷体" w:eastAsia="楷体" w:cs="楷体"/>
          <w:b/>
          <w:color w:val="000000"/>
          <w:kern w:val="0"/>
          <w:sz w:val="84"/>
          <w:szCs w:val="84"/>
          <w:lang w:val="en-US" w:eastAsia="zh-CN" w:bidi="ar"/>
        </w:rPr>
      </w:pPr>
    </w:p>
    <w:p>
      <w:pPr>
        <w:keepNext w:val="0"/>
        <w:keepLines w:val="0"/>
        <w:widowControl/>
        <w:suppressLineNumbers w:val="0"/>
        <w:jc w:val="center"/>
        <w:rPr>
          <w:rFonts w:hint="eastAsia" w:ascii="楷体" w:hAnsi="楷体" w:eastAsia="楷体" w:cs="楷体"/>
          <w:b/>
          <w:color w:val="000000"/>
          <w:kern w:val="0"/>
          <w:sz w:val="36"/>
          <w:szCs w:val="36"/>
          <w:lang w:val="en-US" w:eastAsia="zh-CN" w:bidi="ar"/>
        </w:rPr>
      </w:pPr>
    </w:p>
    <w:p>
      <w:pPr>
        <w:keepNext w:val="0"/>
        <w:keepLines w:val="0"/>
        <w:widowControl/>
        <w:suppressLineNumbers w:val="0"/>
        <w:jc w:val="center"/>
        <w:rPr>
          <w:rFonts w:hint="eastAsia" w:ascii="楷体" w:hAnsi="楷体" w:eastAsia="楷体" w:cs="楷体"/>
          <w:b/>
          <w:color w:val="000000"/>
          <w:kern w:val="0"/>
          <w:sz w:val="36"/>
          <w:szCs w:val="36"/>
          <w:lang w:val="en-US" w:eastAsia="zh-CN" w:bidi="ar"/>
        </w:rPr>
      </w:pPr>
    </w:p>
    <w:p>
      <w:pPr>
        <w:keepNext w:val="0"/>
        <w:keepLines w:val="0"/>
        <w:widowControl/>
        <w:suppressLineNumbers w:val="0"/>
        <w:jc w:val="center"/>
        <w:rPr>
          <w:rFonts w:hint="eastAsia" w:ascii="楷体" w:hAnsi="楷体" w:eastAsia="楷体" w:cs="楷体"/>
          <w:b/>
          <w:color w:val="000000"/>
          <w:kern w:val="0"/>
          <w:sz w:val="36"/>
          <w:szCs w:val="36"/>
          <w:lang w:val="en-US" w:eastAsia="zh-CN" w:bidi="ar"/>
        </w:rPr>
      </w:pPr>
    </w:p>
    <w:p>
      <w:pPr>
        <w:keepNext w:val="0"/>
        <w:keepLines w:val="0"/>
        <w:widowControl/>
        <w:suppressLineNumbers w:val="0"/>
        <w:jc w:val="left"/>
      </w:pPr>
      <w:r>
        <w:rPr>
          <w:rFonts w:hint="eastAsia" w:ascii="楷体" w:hAnsi="楷体" w:eastAsia="楷体" w:cs="楷体"/>
          <w:b/>
          <w:color w:val="000000"/>
          <w:kern w:val="0"/>
          <w:sz w:val="36"/>
          <w:szCs w:val="36"/>
          <w:lang w:val="en-US" w:eastAsia="zh-CN" w:bidi="ar"/>
        </w:rPr>
        <w:t>招标单位：</w:t>
      </w:r>
      <w:r>
        <w:rPr>
          <w:rFonts w:hint="eastAsia" w:ascii="楷体" w:hAnsi="楷体" w:eastAsia="楷体" w:cs="楷体"/>
          <w:color w:val="000000"/>
          <w:kern w:val="0"/>
          <w:sz w:val="36"/>
          <w:szCs w:val="36"/>
          <w:lang w:val="en-US" w:eastAsia="zh-CN" w:bidi="ar"/>
        </w:rPr>
        <w:t xml:space="preserve">鑫广绿环再生资源股份有限公司 </w:t>
      </w:r>
    </w:p>
    <w:p>
      <w:pPr>
        <w:keepNext w:val="0"/>
        <w:keepLines w:val="0"/>
        <w:widowControl/>
        <w:suppressLineNumbers w:val="0"/>
        <w:ind w:left="1807" w:hanging="1807" w:hangingChars="500"/>
        <w:jc w:val="left"/>
        <w:rPr>
          <w:rFonts w:hint="default" w:ascii="楷体" w:hAnsi="楷体" w:eastAsia="楷体" w:cs="楷体"/>
          <w:color w:val="000000"/>
          <w:kern w:val="0"/>
          <w:sz w:val="36"/>
          <w:szCs w:val="36"/>
          <w:lang w:val="en-US" w:eastAsia="zh-CN" w:bidi="ar"/>
        </w:rPr>
      </w:pPr>
      <w:r>
        <w:rPr>
          <w:rFonts w:hint="eastAsia" w:ascii="楷体" w:hAnsi="楷体" w:eastAsia="楷体" w:cs="楷体"/>
          <w:b/>
          <w:color w:val="000000"/>
          <w:kern w:val="0"/>
          <w:sz w:val="36"/>
          <w:szCs w:val="36"/>
          <w:lang w:val="en-US" w:eastAsia="zh-CN" w:bidi="ar"/>
        </w:rPr>
        <w:t xml:space="preserve">招标内容： </w:t>
      </w:r>
      <w:r>
        <w:rPr>
          <w:rFonts w:hint="eastAsia" w:ascii="楷体" w:hAnsi="楷体" w:eastAsia="楷体" w:cs="楷体"/>
          <w:color w:val="000000"/>
          <w:kern w:val="0"/>
          <w:sz w:val="36"/>
          <w:szCs w:val="36"/>
          <w:lang w:val="en-US" w:eastAsia="zh-CN" w:bidi="ar"/>
        </w:rPr>
        <w:t>危废焚烧残渣及飞灰熔融资源化处理项目、烟台市固体废物焚烧处置中心扩建项目二期、危废处置中心技改项目、废旧汽车回收拆解及资源化利用技改项目环保竣工验收</w:t>
      </w:r>
    </w:p>
    <w:p>
      <w:pPr>
        <w:keepNext w:val="0"/>
        <w:keepLines w:val="0"/>
        <w:widowControl/>
        <w:suppressLineNumbers w:val="0"/>
        <w:jc w:val="left"/>
        <w:rPr>
          <w:rFonts w:hint="eastAsia" w:ascii="楷体" w:hAnsi="楷体" w:eastAsia="楷体" w:cs="楷体"/>
          <w:b/>
          <w:color w:val="000000"/>
          <w:kern w:val="0"/>
          <w:sz w:val="30"/>
          <w:szCs w:val="30"/>
          <w:lang w:val="en-US" w:eastAsia="zh-CN" w:bidi="ar"/>
        </w:rPr>
      </w:pPr>
    </w:p>
    <w:p>
      <w:pPr>
        <w:keepNext w:val="0"/>
        <w:keepLines w:val="0"/>
        <w:widowControl/>
        <w:suppressLineNumbers w:val="0"/>
        <w:jc w:val="left"/>
        <w:rPr>
          <w:rFonts w:hint="eastAsia" w:ascii="楷体" w:hAnsi="楷体" w:eastAsia="楷体" w:cs="楷体"/>
          <w:b/>
          <w:color w:val="000000"/>
          <w:kern w:val="0"/>
          <w:sz w:val="30"/>
          <w:szCs w:val="30"/>
          <w:lang w:val="en-US" w:eastAsia="zh-CN" w:bidi="ar"/>
        </w:rPr>
      </w:pPr>
    </w:p>
    <w:p>
      <w:pPr>
        <w:keepNext w:val="0"/>
        <w:keepLines w:val="0"/>
        <w:widowControl/>
        <w:suppressLineNumbers w:val="0"/>
        <w:jc w:val="left"/>
        <w:rPr>
          <w:rFonts w:hint="eastAsia" w:ascii="楷体" w:hAnsi="楷体" w:eastAsia="楷体" w:cs="楷体"/>
          <w:b/>
          <w:color w:val="000000"/>
          <w:kern w:val="0"/>
          <w:sz w:val="30"/>
          <w:szCs w:val="30"/>
          <w:lang w:val="en-US" w:eastAsia="zh-CN" w:bidi="ar"/>
        </w:rPr>
      </w:pPr>
    </w:p>
    <w:p>
      <w:pPr>
        <w:keepNext w:val="0"/>
        <w:keepLines w:val="0"/>
        <w:widowControl/>
        <w:suppressLineNumbers w:val="0"/>
        <w:jc w:val="left"/>
        <w:rPr>
          <w:rFonts w:hint="eastAsia" w:ascii="楷体" w:hAnsi="楷体" w:eastAsia="楷体" w:cs="楷体"/>
          <w:b/>
          <w:color w:val="000000"/>
          <w:kern w:val="0"/>
          <w:sz w:val="30"/>
          <w:szCs w:val="30"/>
          <w:lang w:val="en-US" w:eastAsia="zh-CN" w:bidi="ar"/>
        </w:rPr>
      </w:pPr>
    </w:p>
    <w:p>
      <w:pPr>
        <w:keepNext w:val="0"/>
        <w:keepLines w:val="0"/>
        <w:widowControl/>
        <w:suppressLineNumbers w:val="0"/>
        <w:jc w:val="center"/>
        <w:rPr>
          <w:rFonts w:hint="eastAsia" w:ascii="楷体" w:hAnsi="楷体" w:eastAsia="楷体" w:cs="楷体"/>
          <w:b/>
          <w:color w:val="000000"/>
          <w:kern w:val="0"/>
          <w:sz w:val="30"/>
          <w:szCs w:val="30"/>
          <w:lang w:val="en-US" w:eastAsia="zh-CN" w:bidi="ar"/>
        </w:rPr>
      </w:pPr>
      <w:r>
        <w:rPr>
          <w:rFonts w:hint="eastAsia" w:ascii="楷体" w:hAnsi="楷体" w:eastAsia="楷体" w:cs="楷体"/>
          <w:b/>
          <w:color w:val="000000"/>
          <w:kern w:val="0"/>
          <w:sz w:val="30"/>
          <w:szCs w:val="30"/>
          <w:lang w:val="en-US" w:eastAsia="zh-CN" w:bidi="ar"/>
        </w:rPr>
        <w:t>2023年 6月</w:t>
      </w:r>
    </w:p>
    <w:p>
      <w:pPr>
        <w:rPr>
          <w:rFonts w:hint="eastAsia" w:ascii="楷体" w:hAnsi="楷体" w:eastAsia="楷体" w:cs="楷体"/>
          <w:b/>
          <w:color w:val="000000"/>
          <w:kern w:val="0"/>
          <w:sz w:val="30"/>
          <w:szCs w:val="30"/>
          <w:lang w:val="en-US" w:eastAsia="zh-CN" w:bidi="ar"/>
        </w:rPr>
      </w:pPr>
      <w:r>
        <w:rPr>
          <w:rFonts w:hint="eastAsia" w:ascii="楷体" w:hAnsi="楷体" w:eastAsia="楷体" w:cs="楷体"/>
          <w:b/>
          <w:color w:val="000000"/>
          <w:kern w:val="0"/>
          <w:sz w:val="30"/>
          <w:szCs w:val="30"/>
          <w:lang w:val="en-US" w:eastAsia="zh-CN" w:bidi="ar"/>
        </w:rPr>
        <w:br w:type="page"/>
      </w:r>
    </w:p>
    <w:p>
      <w:pPr>
        <w:keepNext w:val="0"/>
        <w:keepLines w:val="0"/>
        <w:widowControl/>
        <w:suppressLineNumbers w:val="0"/>
        <w:ind w:firstLine="480" w:firstLineChars="200"/>
        <w:jc w:val="both"/>
      </w:pPr>
      <w:r>
        <w:rPr>
          <w:rFonts w:hint="eastAsia" w:ascii="宋体" w:hAnsi="宋体" w:eastAsia="宋体" w:cs="宋体"/>
          <w:color w:val="000000"/>
          <w:kern w:val="0"/>
          <w:sz w:val="24"/>
          <w:szCs w:val="24"/>
          <w:lang w:val="en-US" w:eastAsia="zh-CN" w:bidi="ar"/>
        </w:rPr>
        <w:t>根据《中华人民共和国招标投标法》以及有关的法律法规，遵循公开、公平、公正和诚信实用的原则，</w:t>
      </w:r>
      <w:r>
        <w:rPr>
          <w:rFonts w:hint="eastAsia" w:ascii="宋体" w:hAnsi="宋体" w:eastAsia="宋体" w:cs="宋体"/>
          <w:sz w:val="24"/>
          <w:szCs w:val="24"/>
        </w:rPr>
        <w:t>鑫广绿环再生资源股份有限公司（以下简称“本公司”）就</w:t>
      </w:r>
      <w:r>
        <w:rPr>
          <w:rFonts w:hint="eastAsia" w:ascii="宋体" w:hAnsi="宋体" w:eastAsia="宋体" w:cs="宋体"/>
          <w:sz w:val="24"/>
          <w:szCs w:val="24"/>
          <w:lang w:val="en-US" w:eastAsia="zh-CN"/>
        </w:rPr>
        <w:t>鑫广绿环再生资源股份有限公司项目环保竣工验收工作</w:t>
      </w:r>
      <w:r>
        <w:rPr>
          <w:rFonts w:hint="eastAsia" w:ascii="宋体" w:hAnsi="宋体" w:eastAsia="宋体" w:cs="宋体"/>
          <w:sz w:val="24"/>
          <w:szCs w:val="24"/>
        </w:rPr>
        <w:t>公开招标</w:t>
      </w:r>
      <w:r>
        <w:rPr>
          <w:rFonts w:hint="eastAsia" w:ascii="宋体" w:hAnsi="宋体" w:eastAsia="宋体" w:cs="宋体"/>
          <w:color w:val="000000"/>
          <w:kern w:val="0"/>
          <w:sz w:val="24"/>
          <w:szCs w:val="24"/>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pPr>
      <w:r>
        <w:rPr>
          <w:rFonts w:ascii="微软雅黑" w:hAnsi="微软雅黑" w:eastAsia="微软雅黑" w:cs="微软雅黑"/>
          <w:b/>
          <w:color w:val="000000"/>
          <w:kern w:val="0"/>
          <w:sz w:val="24"/>
          <w:szCs w:val="24"/>
          <w:lang w:val="en-US" w:eastAsia="zh-CN" w:bidi="ar"/>
        </w:rPr>
        <w:t xml:space="preserve">一、招标说明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pPr>
      <w:r>
        <w:rPr>
          <w:rFonts w:hint="eastAsia" w:ascii="宋体" w:hAnsi="宋体" w:eastAsia="宋体" w:cs="宋体"/>
          <w:color w:val="000000"/>
          <w:kern w:val="0"/>
          <w:sz w:val="24"/>
          <w:szCs w:val="24"/>
          <w:lang w:val="en-US" w:eastAsia="zh-CN" w:bidi="ar"/>
        </w:rPr>
        <w:t>招标内容为本公司</w:t>
      </w:r>
      <w:r>
        <w:rPr>
          <w:rFonts w:hint="eastAsia" w:ascii="宋体" w:hAnsi="宋体" w:eastAsia="宋体" w:cs="宋体"/>
          <w:sz w:val="24"/>
          <w:szCs w:val="24"/>
          <w:lang w:val="en-US" w:eastAsia="zh-CN"/>
        </w:rPr>
        <w:t>鑫广绿环再生资源股份有限公司项目环保竣工验收工作</w:t>
      </w:r>
      <w:r>
        <w:rPr>
          <w:rFonts w:hint="eastAsia" w:ascii="宋体" w:hAnsi="宋体" w:cs="Arial"/>
          <w:sz w:val="24"/>
          <w:szCs w:val="24"/>
          <w:lang w:eastAsia="zh-CN"/>
        </w:rPr>
        <w:t>。</w:t>
      </w:r>
      <w:r>
        <w:rPr>
          <w:rFonts w:hint="eastAsia" w:ascii="宋体" w:hAnsi="宋体" w:eastAsia="宋体" w:cs="宋体"/>
          <w:color w:val="000000"/>
          <w:kern w:val="0"/>
          <w:sz w:val="24"/>
          <w:szCs w:val="24"/>
          <w:lang w:val="en-US" w:eastAsia="zh-CN" w:bidi="ar"/>
        </w:rPr>
        <w:t>即对</w:t>
      </w:r>
      <w:r>
        <w:rPr>
          <w:rFonts w:hint="eastAsia" w:ascii="宋体" w:hAnsi="宋体" w:eastAsia="宋体" w:cs="宋体"/>
          <w:sz w:val="24"/>
          <w:szCs w:val="24"/>
          <w:lang w:val="en-US" w:eastAsia="zh-CN"/>
        </w:rPr>
        <w:t>《危废焚烧残渣及飞灰熔融资源化处理项目》、《烟台市固体废物焚烧处置中心扩建项目二期》、《危废处置中心技改项目》、《废旧汽车回收拆解及资源化利用技改项目》环保竣工验收工作</w:t>
      </w:r>
      <w:r>
        <w:rPr>
          <w:rFonts w:hint="eastAsia" w:ascii="宋体" w:hAnsi="宋体"/>
          <w:sz w:val="24"/>
          <w:szCs w:val="24"/>
        </w:rPr>
        <w:t>进行现场勘查</w:t>
      </w:r>
      <w:r>
        <w:rPr>
          <w:rFonts w:hint="eastAsia" w:ascii="宋体" w:hAnsi="宋体"/>
          <w:sz w:val="24"/>
          <w:szCs w:val="24"/>
          <w:lang w:eastAsia="zh-CN"/>
        </w:rPr>
        <w:t>，</w:t>
      </w:r>
      <w:r>
        <w:rPr>
          <w:rFonts w:hint="eastAsia" w:ascii="宋体" w:hAnsi="宋体"/>
          <w:sz w:val="24"/>
          <w:szCs w:val="24"/>
        </w:rPr>
        <w:t>按照竣工验收监测方案进行现场监测</w:t>
      </w:r>
      <w:r>
        <w:rPr>
          <w:rFonts w:hint="eastAsia" w:ascii="宋体" w:hAnsi="宋体"/>
          <w:sz w:val="24"/>
          <w:szCs w:val="24"/>
          <w:lang w:eastAsia="zh-CN"/>
        </w:rPr>
        <w:t>（不具备监测能力的，必须委托有</w:t>
      </w:r>
      <w:r>
        <w:rPr>
          <w:rFonts w:hint="eastAsia" w:ascii="宋体" w:hAnsi="宋体"/>
          <w:sz w:val="24"/>
          <w:szCs w:val="24"/>
          <w:lang w:val="en-US" w:eastAsia="zh-CN"/>
        </w:rPr>
        <w:t>CMA</w:t>
      </w:r>
      <w:r>
        <w:rPr>
          <w:rFonts w:hint="eastAsia" w:ascii="宋体" w:hAnsi="宋体"/>
          <w:sz w:val="24"/>
          <w:szCs w:val="24"/>
          <w:lang w:eastAsia="zh-CN"/>
        </w:rPr>
        <w:t>资质的第三方），</w:t>
      </w:r>
      <w:r>
        <w:rPr>
          <w:rFonts w:hint="eastAsia" w:ascii="宋体" w:hAnsi="宋体"/>
          <w:sz w:val="24"/>
          <w:szCs w:val="24"/>
        </w:rPr>
        <w:t>出具竣工验收监测报告</w:t>
      </w:r>
      <w:r>
        <w:rPr>
          <w:rFonts w:hint="eastAsia" w:ascii="宋体" w:hAnsi="宋体"/>
          <w:sz w:val="24"/>
          <w:szCs w:val="24"/>
          <w:lang w:eastAsia="zh-CN"/>
        </w:rPr>
        <w:t>、</w:t>
      </w:r>
      <w:r>
        <w:rPr>
          <w:rFonts w:hint="eastAsia" w:ascii="宋体" w:hAnsi="宋体"/>
          <w:sz w:val="24"/>
          <w:szCs w:val="24"/>
          <w:lang w:val="en-US" w:eastAsia="zh-CN"/>
        </w:rPr>
        <w:t>组织</w:t>
      </w:r>
      <w:r>
        <w:rPr>
          <w:rFonts w:hint="eastAsia" w:ascii="宋体" w:hAnsi="宋体"/>
          <w:sz w:val="24"/>
          <w:szCs w:val="24"/>
        </w:rPr>
        <w:t>参加竣工环保验收</w:t>
      </w:r>
      <w:r>
        <w:rPr>
          <w:rFonts w:hint="eastAsia" w:ascii="宋体" w:hAnsi="宋体"/>
          <w:sz w:val="24"/>
          <w:szCs w:val="24"/>
          <w:lang w:val="en-US" w:eastAsia="zh-CN"/>
        </w:rPr>
        <w:t>评审</w:t>
      </w:r>
      <w:r>
        <w:rPr>
          <w:rFonts w:hint="eastAsia" w:ascii="宋体" w:hAnsi="宋体" w:eastAsia="宋体" w:cs="宋体"/>
          <w:color w:val="000000"/>
          <w:kern w:val="0"/>
          <w:sz w:val="24"/>
          <w:szCs w:val="24"/>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pPr>
      <w:r>
        <w:rPr>
          <w:rFonts w:hint="eastAsia" w:ascii="微软雅黑" w:hAnsi="微软雅黑" w:eastAsia="微软雅黑" w:cs="微软雅黑"/>
          <w:b/>
          <w:color w:val="000000"/>
          <w:kern w:val="0"/>
          <w:sz w:val="24"/>
          <w:szCs w:val="24"/>
          <w:lang w:val="en-US" w:eastAsia="zh-CN" w:bidi="ar"/>
        </w:rPr>
        <w:t xml:space="preserve">二、投标单位要求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2.1 必须是独立法人，并具备统一社会信用代码。</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2.2 具有相关项目经验；具有至少1名注册环境影响评价工程师，且在本单位缴纳社保。中标后未经我公司允许，不得私自更换报告编制人员。</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default"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2.3中标单位自接到我公司项目开始验收之日起，2个月内完成报告编制并通过专家审查。</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pPr>
      <w:r>
        <w:rPr>
          <w:rFonts w:hint="eastAsia" w:ascii="宋体" w:hAnsi="宋体" w:eastAsia="宋体" w:cs="宋体"/>
          <w:color w:val="000000"/>
          <w:kern w:val="0"/>
          <w:sz w:val="24"/>
          <w:szCs w:val="24"/>
          <w:lang w:val="en-US" w:eastAsia="zh-CN" w:bidi="ar"/>
        </w:rPr>
        <w:t xml:space="preserve">2.4以下单位不得承担此次工作：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pPr>
      <w:r>
        <w:rPr>
          <w:rFonts w:hint="eastAsia" w:ascii="宋体" w:hAnsi="宋体" w:eastAsia="宋体" w:cs="宋体"/>
          <w:color w:val="000000"/>
          <w:kern w:val="0"/>
          <w:sz w:val="24"/>
          <w:szCs w:val="24"/>
          <w:lang w:val="en-US" w:eastAsia="zh-CN" w:bidi="ar"/>
        </w:rPr>
        <w:t xml:space="preserve">（1）受到生态环境部门通报批评的；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pPr>
      <w:r>
        <w:rPr>
          <w:rFonts w:hint="eastAsia" w:ascii="宋体" w:hAnsi="宋体" w:eastAsia="宋体" w:cs="宋体"/>
          <w:color w:val="000000"/>
          <w:kern w:val="0"/>
          <w:sz w:val="24"/>
          <w:szCs w:val="24"/>
          <w:lang w:val="en-US" w:eastAsia="zh-CN" w:bidi="ar"/>
        </w:rPr>
        <w:t>（2）社会信用评价不良的；</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pPr>
      <w:r>
        <w:rPr>
          <w:rFonts w:hint="eastAsia" w:ascii="微软雅黑" w:hAnsi="微软雅黑" w:eastAsia="微软雅黑" w:cs="微软雅黑"/>
          <w:b/>
          <w:color w:val="000000"/>
          <w:kern w:val="0"/>
          <w:sz w:val="24"/>
          <w:szCs w:val="24"/>
          <w:lang w:val="en-US" w:eastAsia="zh-CN" w:bidi="ar"/>
        </w:rPr>
        <w:t>三、本公司履行招标事项</w:t>
      </w:r>
      <w:r>
        <w:rPr>
          <w:rFonts w:hint="eastAsia" w:ascii="微软雅黑" w:hAnsi="微软雅黑" w:eastAsia="微软雅黑" w:cs="微软雅黑"/>
          <w:color w:val="000000"/>
          <w:kern w:val="0"/>
          <w:sz w:val="24"/>
          <w:szCs w:val="24"/>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480" w:firstLineChars="200"/>
        <w:jc w:val="left"/>
        <w:textAlignment w:val="auto"/>
      </w:pPr>
      <w:r>
        <w:rPr>
          <w:rFonts w:hint="eastAsia" w:ascii="宋体" w:hAnsi="宋体" w:eastAsia="宋体" w:cs="宋体"/>
          <w:color w:val="000000"/>
          <w:kern w:val="0"/>
          <w:sz w:val="24"/>
          <w:szCs w:val="24"/>
          <w:lang w:val="en-US" w:eastAsia="zh-CN" w:bidi="ar"/>
        </w:rPr>
        <w:t>3.1 标单制定：技术部环境管理根据项目环保验收相关要求，依照实际情况制定本次投标标单。</w:t>
      </w:r>
    </w:p>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480" w:firstLineChars="200"/>
        <w:jc w:val="left"/>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3.2 开标小组</w:t>
      </w:r>
      <w:r>
        <w:rPr>
          <w:rFonts w:hint="eastAsia" w:ascii="宋体" w:hAnsi="宋体" w:eastAsia="宋体" w:cs="宋体"/>
          <w:color w:val="000000"/>
          <w:kern w:val="0"/>
          <w:sz w:val="24"/>
          <w:szCs w:val="24"/>
          <w:highlight w:val="none"/>
          <w:lang w:val="en-US" w:eastAsia="zh-CN" w:bidi="ar"/>
        </w:rPr>
        <w:t>依所</w:t>
      </w:r>
      <w:r>
        <w:rPr>
          <w:rFonts w:hint="eastAsia" w:ascii="宋体" w:hAnsi="宋体" w:eastAsia="宋体" w:cs="宋体"/>
          <w:color w:val="000000"/>
          <w:kern w:val="0"/>
          <w:sz w:val="24"/>
          <w:szCs w:val="24"/>
          <w:lang w:val="en-US" w:eastAsia="zh-CN" w:bidi="ar"/>
        </w:rPr>
        <w:t>定资格条件对参与投标之单位进行审查，不符合条件者不得参与竞标。</w:t>
      </w:r>
    </w:p>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480" w:firstLineChars="200"/>
        <w:jc w:val="left"/>
        <w:textAlignment w:val="auto"/>
        <w:rPr>
          <w:highlight w:val="yellow"/>
        </w:rPr>
      </w:pPr>
      <w:r>
        <w:rPr>
          <w:rFonts w:hint="eastAsia" w:ascii="宋体" w:hAnsi="宋体" w:eastAsia="宋体" w:cs="宋体"/>
          <w:color w:val="000000"/>
          <w:kern w:val="0"/>
          <w:sz w:val="24"/>
          <w:szCs w:val="24"/>
          <w:highlight w:val="yellow"/>
          <w:lang w:val="en-US" w:eastAsia="zh-CN" w:bidi="ar"/>
        </w:rPr>
        <w:t>3.3 邀请投标单位：技术部于 2023 年 6月6  日（星期二） 17 时 00分之前通知投标单位参与本次招标。</w:t>
      </w:r>
    </w:p>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480" w:firstLineChars="200"/>
        <w:jc w:val="left"/>
        <w:textAlignment w:val="auto"/>
        <w:rPr>
          <w:highlight w:val="yellow"/>
        </w:rPr>
      </w:pPr>
      <w:r>
        <w:rPr>
          <w:rFonts w:hint="eastAsia" w:ascii="宋体" w:hAnsi="宋体" w:eastAsia="宋体" w:cs="宋体"/>
          <w:color w:val="000000"/>
          <w:kern w:val="0"/>
          <w:sz w:val="24"/>
          <w:szCs w:val="24"/>
          <w:highlight w:val="yellow"/>
          <w:lang w:val="en-US" w:eastAsia="zh-CN" w:bidi="ar"/>
        </w:rPr>
        <w:t>3.4 提供资料答疑：技术部于 2023 年6月7日（星期三） 9 时 00 分后根据投标单位的需求，解答标书上的疑点。</w:t>
      </w:r>
    </w:p>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480" w:firstLineChars="200"/>
        <w:jc w:val="left"/>
        <w:textAlignment w:val="auto"/>
        <w:rPr>
          <w:highlight w:val="yellow"/>
        </w:rPr>
      </w:pPr>
      <w:r>
        <w:rPr>
          <w:rFonts w:hint="eastAsia" w:ascii="宋体" w:hAnsi="宋体" w:eastAsia="宋体" w:cs="宋体"/>
          <w:color w:val="000000"/>
          <w:kern w:val="0"/>
          <w:sz w:val="24"/>
          <w:szCs w:val="24"/>
          <w:highlight w:val="yellow"/>
          <w:lang w:val="en-US" w:eastAsia="zh-CN" w:bidi="ar"/>
        </w:rPr>
        <w:t>3.5 返标截止时间：2023年6月 20 日（星期二）09 时00 分，逾期不予受理。</w:t>
      </w:r>
    </w:p>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480" w:firstLineChars="200"/>
        <w:jc w:val="left"/>
        <w:textAlignment w:val="auto"/>
        <w:rPr>
          <w:color w:val="auto"/>
        </w:rPr>
      </w:pPr>
      <w:r>
        <w:rPr>
          <w:rFonts w:hint="eastAsia" w:ascii="宋体" w:hAnsi="宋体" w:eastAsia="宋体" w:cs="宋体"/>
          <w:color w:val="000000"/>
          <w:kern w:val="0"/>
          <w:sz w:val="24"/>
          <w:szCs w:val="24"/>
          <w:lang w:val="en-US" w:eastAsia="zh-CN" w:bidi="ar"/>
        </w:rPr>
        <w:t>3.6 返标地点：烟台市 开发区 开封路 8 号，鑫广绿环再</w:t>
      </w:r>
      <w:r>
        <w:rPr>
          <w:rFonts w:hint="eastAsia" w:ascii="宋体" w:hAnsi="宋体" w:eastAsia="宋体" w:cs="宋体"/>
          <w:color w:val="auto"/>
          <w:kern w:val="0"/>
          <w:sz w:val="24"/>
          <w:szCs w:val="24"/>
          <w:lang w:val="en-US" w:eastAsia="zh-CN" w:bidi="ar"/>
        </w:rPr>
        <w:t xml:space="preserve">生资源股份有限公司 审计部 李经理收（0535-6977130）。 </w:t>
      </w:r>
      <w:r>
        <w:rPr>
          <w:rFonts w:hint="eastAsia" w:ascii="宋体" w:hAnsi="宋体" w:cs="Arial"/>
          <w:color w:val="auto"/>
          <w:sz w:val="24"/>
          <w:szCs w:val="24"/>
        </w:rPr>
        <w:t>邮箱：baojia@lvhuanchina.com</w:t>
      </w:r>
      <w:r>
        <w:rPr>
          <w:rFonts w:hint="eastAsia" w:ascii="宋体" w:hAnsi="宋体" w:cs="Arial"/>
          <w:color w:val="auto"/>
          <w:sz w:val="24"/>
          <w:szCs w:val="24"/>
          <w:lang w:eastAsia="zh-CN"/>
        </w:rPr>
        <w:t>。可现场提交，也可盖章扫描后发送至指定邮箱。</w:t>
      </w:r>
    </w:p>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480" w:firstLineChars="200"/>
        <w:jc w:val="left"/>
        <w:textAlignment w:val="auto"/>
        <w:rPr>
          <w:color w:val="auto"/>
        </w:rPr>
      </w:pPr>
      <w:r>
        <w:rPr>
          <w:rFonts w:hint="eastAsia" w:ascii="宋体" w:hAnsi="宋体" w:eastAsia="宋体" w:cs="宋体"/>
          <w:color w:val="auto"/>
          <w:kern w:val="0"/>
          <w:sz w:val="24"/>
          <w:szCs w:val="24"/>
          <w:lang w:val="en-US" w:eastAsia="zh-CN" w:bidi="ar"/>
        </w:rPr>
        <w:t xml:space="preserve">3.7 招标联系人：乔芳（手机 13615451922 ） </w:t>
      </w:r>
    </w:p>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480" w:firstLineChars="200"/>
        <w:jc w:val="left"/>
        <w:textAlignment w:val="auto"/>
      </w:pPr>
      <w:r>
        <w:rPr>
          <w:rFonts w:hint="eastAsia" w:ascii="宋体" w:hAnsi="宋体" w:eastAsia="宋体" w:cs="宋体"/>
          <w:color w:val="000000"/>
          <w:kern w:val="0"/>
          <w:sz w:val="24"/>
          <w:szCs w:val="24"/>
          <w:lang w:val="en-US" w:eastAsia="zh-CN" w:bidi="ar"/>
        </w:rPr>
        <w:t>3.8 开标时间：</w:t>
      </w:r>
      <w:r>
        <w:rPr>
          <w:rFonts w:hint="eastAsia" w:ascii="宋体" w:hAnsi="宋体" w:eastAsia="宋体" w:cs="宋体"/>
          <w:color w:val="000000"/>
          <w:kern w:val="0"/>
          <w:sz w:val="24"/>
          <w:szCs w:val="24"/>
          <w:highlight w:val="yellow"/>
          <w:lang w:val="en-US" w:eastAsia="zh-CN" w:bidi="ar"/>
        </w:rPr>
        <w:t>本次招标将于 2023 年 6 月20日（星期二）10:00开标。</w:t>
      </w:r>
      <w:r>
        <w:rPr>
          <w:rFonts w:hint="eastAsia" w:ascii="宋体" w:hAnsi="宋体" w:eastAsia="宋体" w:cs="宋体"/>
          <w:color w:val="000000"/>
          <w:kern w:val="0"/>
          <w:sz w:val="24"/>
          <w:szCs w:val="24"/>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480" w:firstLineChars="200"/>
        <w:jc w:val="left"/>
        <w:textAlignment w:val="auto"/>
      </w:pPr>
      <w:r>
        <w:rPr>
          <w:rFonts w:hint="eastAsia" w:ascii="宋体" w:hAnsi="宋体" w:eastAsia="宋体" w:cs="宋体"/>
          <w:color w:val="000000"/>
          <w:kern w:val="0"/>
          <w:sz w:val="24"/>
          <w:szCs w:val="24"/>
          <w:lang w:val="en-US" w:eastAsia="zh-CN" w:bidi="ar"/>
        </w:rPr>
        <w:t>3.9 开标地点：烟台市 开发区 开封路 8 号，鑫广绿环再生资源股份有限公司</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pPr>
      <w:r>
        <w:rPr>
          <w:rFonts w:hint="eastAsia" w:ascii="宋体" w:hAnsi="宋体" w:eastAsia="宋体" w:cs="宋体"/>
          <w:color w:val="000000"/>
          <w:kern w:val="0"/>
          <w:sz w:val="24"/>
          <w:szCs w:val="24"/>
          <w:lang w:val="en-US" w:eastAsia="zh-CN" w:bidi="ar"/>
        </w:rPr>
        <w:t xml:space="preserve">3.10 开标方式：内部开标。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微软雅黑" w:hAnsi="微软雅黑" w:eastAsia="微软雅黑" w:cs="微软雅黑"/>
          <w:b/>
          <w:color w:val="000000"/>
          <w:kern w:val="0"/>
          <w:sz w:val="24"/>
          <w:szCs w:val="24"/>
          <w:lang w:val="en-US" w:eastAsia="zh-CN" w:bidi="ar"/>
        </w:rPr>
      </w:pPr>
      <w:r>
        <w:rPr>
          <w:rFonts w:hint="eastAsia" w:ascii="微软雅黑" w:hAnsi="微软雅黑" w:eastAsia="微软雅黑" w:cs="微软雅黑"/>
          <w:b/>
          <w:color w:val="000000"/>
          <w:kern w:val="0"/>
          <w:sz w:val="24"/>
          <w:szCs w:val="24"/>
          <w:lang w:val="en-US" w:eastAsia="zh-CN" w:bidi="ar"/>
        </w:rPr>
        <w:t>四、投标标单：</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微软雅黑" w:hAnsi="微软雅黑" w:eastAsia="微软雅黑" w:cs="微软雅黑"/>
          <w:b/>
          <w:color w:val="000000"/>
          <w:kern w:val="0"/>
          <w:sz w:val="24"/>
          <w:szCs w:val="24"/>
          <w:highlight w:val="yellow"/>
          <w:lang w:val="en-US" w:eastAsia="zh-CN" w:bidi="ar"/>
        </w:rPr>
      </w:pPr>
      <w:r>
        <w:rPr>
          <w:rFonts w:hint="eastAsia" w:ascii="微软雅黑" w:hAnsi="微软雅黑" w:eastAsia="微软雅黑" w:cs="微软雅黑"/>
          <w:b/>
          <w:color w:val="000000"/>
          <w:kern w:val="0"/>
          <w:sz w:val="24"/>
          <w:szCs w:val="24"/>
          <w:highlight w:val="yellow"/>
          <w:lang w:val="en-US" w:eastAsia="zh-CN" w:bidi="ar"/>
        </w:rPr>
        <w:t>表一：报价单</w:t>
      </w:r>
    </w:p>
    <w:tbl>
      <w:tblPr>
        <w:tblW w:w="525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
      <w:tblGrid>
        <w:gridCol w:w="2836"/>
        <w:gridCol w:w="2837"/>
        <w:gridCol w:w="1746"/>
        <w:gridCol w:w="15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158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项目名称</w:t>
            </w:r>
          </w:p>
        </w:tc>
        <w:tc>
          <w:tcPr>
            <w:tcW w:w="158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项目环保验收费用总价（包含监测、报告编制、专家费、税费等全部费用）</w:t>
            </w:r>
          </w:p>
        </w:tc>
        <w:tc>
          <w:tcPr>
            <w:tcW w:w="975"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工期</w:t>
            </w:r>
          </w:p>
        </w:tc>
        <w:tc>
          <w:tcPr>
            <w:tcW w:w="85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招标控制限价（万元）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40" w:hRule="atLeast"/>
        </w:trPr>
        <w:tc>
          <w:tcPr>
            <w:tcW w:w="158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危废焚烧残渣及飞灰熔融资源化处理项目</w:t>
            </w:r>
          </w:p>
        </w:tc>
        <w:tc>
          <w:tcPr>
            <w:tcW w:w="1585"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0"/>
                <w:szCs w:val="20"/>
                <w:u w:val="none"/>
              </w:rPr>
            </w:pPr>
          </w:p>
        </w:tc>
        <w:tc>
          <w:tcPr>
            <w:tcW w:w="975" w:type="pct"/>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b/>
                <w:bCs/>
                <w:i w:val="0"/>
                <w:iCs w:val="0"/>
                <w:color w:val="000000"/>
                <w:sz w:val="20"/>
                <w:szCs w:val="20"/>
                <w:u w:val="none"/>
              </w:rPr>
            </w:pPr>
          </w:p>
        </w:tc>
        <w:tc>
          <w:tcPr>
            <w:tcW w:w="85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40" w:hRule="atLeast"/>
        </w:trPr>
        <w:tc>
          <w:tcPr>
            <w:tcW w:w="158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烟台市固体废物焚烧处置中心扩建项目二期</w:t>
            </w:r>
          </w:p>
        </w:tc>
        <w:tc>
          <w:tcPr>
            <w:tcW w:w="1585"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0"/>
                <w:szCs w:val="20"/>
                <w:u w:val="none"/>
              </w:rPr>
            </w:pPr>
          </w:p>
        </w:tc>
        <w:tc>
          <w:tcPr>
            <w:tcW w:w="975" w:type="pct"/>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b/>
                <w:bCs/>
                <w:i w:val="0"/>
                <w:iCs w:val="0"/>
                <w:color w:val="000000"/>
                <w:sz w:val="20"/>
                <w:szCs w:val="20"/>
                <w:u w:val="none"/>
              </w:rPr>
            </w:pPr>
          </w:p>
        </w:tc>
        <w:tc>
          <w:tcPr>
            <w:tcW w:w="85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40" w:hRule="atLeast"/>
        </w:trPr>
        <w:tc>
          <w:tcPr>
            <w:tcW w:w="158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危废处置中心技改项目</w:t>
            </w:r>
          </w:p>
        </w:tc>
        <w:tc>
          <w:tcPr>
            <w:tcW w:w="1585"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0"/>
                <w:szCs w:val="20"/>
                <w:u w:val="none"/>
              </w:rPr>
            </w:pPr>
          </w:p>
        </w:tc>
        <w:tc>
          <w:tcPr>
            <w:tcW w:w="975" w:type="pct"/>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b/>
                <w:bCs/>
                <w:i w:val="0"/>
                <w:iCs w:val="0"/>
                <w:color w:val="000000"/>
                <w:sz w:val="20"/>
                <w:szCs w:val="20"/>
                <w:u w:val="none"/>
              </w:rPr>
            </w:pPr>
          </w:p>
        </w:tc>
        <w:tc>
          <w:tcPr>
            <w:tcW w:w="85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40" w:hRule="atLeast"/>
        </w:trPr>
        <w:tc>
          <w:tcPr>
            <w:tcW w:w="1584"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废旧汽车回收拆解及资源化利用技改项目</w:t>
            </w:r>
          </w:p>
        </w:tc>
        <w:tc>
          <w:tcPr>
            <w:tcW w:w="1585"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0"/>
                <w:szCs w:val="20"/>
                <w:u w:val="none"/>
              </w:rPr>
            </w:pPr>
          </w:p>
        </w:tc>
        <w:tc>
          <w:tcPr>
            <w:tcW w:w="975" w:type="pct"/>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b/>
                <w:bCs/>
                <w:i w:val="0"/>
                <w:iCs w:val="0"/>
                <w:color w:val="000000"/>
                <w:sz w:val="20"/>
                <w:szCs w:val="20"/>
                <w:u w:val="none"/>
              </w:rPr>
            </w:pPr>
          </w:p>
        </w:tc>
        <w:tc>
          <w:tcPr>
            <w:tcW w:w="854"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40" w:hRule="atLeast"/>
        </w:trPr>
        <w:tc>
          <w:tcPr>
            <w:tcW w:w="5000" w:type="pct"/>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bdr w:val="none" w:color="auto" w:sz="0" w:space="0"/>
                <w:lang w:val="en-US" w:eastAsia="zh-CN" w:bidi="ar"/>
              </w:rPr>
              <w:t>付款方式：验收报告通过评审后，次月支付全部款项。</w:t>
            </w:r>
          </w:p>
        </w:tc>
      </w:tr>
    </w:tbl>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default" w:ascii="微软雅黑" w:hAnsi="微软雅黑" w:eastAsia="微软雅黑" w:cs="微软雅黑"/>
          <w:b/>
          <w:color w:val="000000"/>
          <w:kern w:val="0"/>
          <w:sz w:val="24"/>
          <w:szCs w:val="24"/>
          <w:highlight w:val="yellow"/>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微软雅黑" w:hAnsi="微软雅黑" w:eastAsia="微软雅黑" w:cs="微软雅黑"/>
          <w:b/>
          <w:color w:val="000000"/>
          <w:kern w:val="0"/>
          <w:sz w:val="24"/>
          <w:szCs w:val="24"/>
          <w:highlight w:val="yellow"/>
          <w:lang w:val="en-US" w:eastAsia="zh-CN" w:bidi="ar"/>
        </w:rPr>
      </w:pPr>
      <w:r>
        <w:rPr>
          <w:rFonts w:hint="eastAsia" w:ascii="微软雅黑" w:hAnsi="微软雅黑" w:eastAsia="微软雅黑" w:cs="微软雅黑"/>
          <w:b/>
          <w:color w:val="000000"/>
          <w:kern w:val="0"/>
          <w:sz w:val="24"/>
          <w:szCs w:val="24"/>
          <w:highlight w:val="yellow"/>
          <w:lang w:val="en-US" w:eastAsia="zh-CN" w:bidi="ar"/>
        </w:rPr>
        <w:t>表二：验收监测因子单价明细表</w:t>
      </w:r>
      <w:r>
        <w:rPr>
          <w:rFonts w:hint="eastAsia" w:ascii="微软雅黑" w:hAnsi="微软雅黑" w:eastAsia="微软雅黑" w:cs="微软雅黑"/>
          <w:b/>
          <w:color w:val="0000FF"/>
          <w:kern w:val="0"/>
          <w:sz w:val="24"/>
          <w:szCs w:val="24"/>
          <w:highlight w:val="yellow"/>
          <w:lang w:val="en-US" w:eastAsia="zh-CN" w:bidi="ar"/>
        </w:rPr>
        <w:t>（四个项目分开报、监测方案见附表）</w:t>
      </w:r>
    </w:p>
    <w:tbl>
      <w:tblPr>
        <w:tblStyle w:val="3"/>
        <w:tblW w:w="886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260"/>
        <w:gridCol w:w="1080"/>
        <w:gridCol w:w="1080"/>
        <w:gridCol w:w="1080"/>
        <w:gridCol w:w="1080"/>
        <w:gridCol w:w="1080"/>
        <w:gridCol w:w="1080"/>
        <w:gridCol w:w="11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监测因子</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监测项目</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点位</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频次</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周期</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样品数总计</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单价</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合计（元）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12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有组织废气</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12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12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无组织废气</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12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12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环境空气</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12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12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噪声</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12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12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废水</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12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地下水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b/>
                <w:bCs/>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b/>
                <w:bCs/>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b/>
                <w:bCs/>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b/>
                <w:bCs/>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b/>
                <w:bCs/>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b/>
                <w:bCs/>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b/>
                <w:bCs/>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b/>
                <w:bCs/>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b/>
                <w:bCs/>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b/>
                <w:bCs/>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b/>
                <w:bCs/>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b/>
                <w:bCs/>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土壤</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b/>
                <w:bCs/>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b/>
                <w:bCs/>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b/>
                <w:bCs/>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b/>
                <w:bCs/>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b/>
                <w:bCs/>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b/>
                <w:bCs/>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b/>
                <w:bCs/>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b/>
                <w:bCs/>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b/>
                <w:bCs/>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b/>
                <w:bCs/>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b/>
                <w:bCs/>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b/>
                <w:bCs/>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lang w:val="en-US" w:eastAsia="zh-CN"/>
              </w:rPr>
            </w:pPr>
            <w:r>
              <w:rPr>
                <w:rFonts w:hint="eastAsia" w:ascii="宋体" w:hAnsi="宋体" w:eastAsia="宋体" w:cs="宋体"/>
                <w:b/>
                <w:bCs/>
                <w:i w:val="0"/>
                <w:iCs w:val="0"/>
                <w:color w:val="000000"/>
                <w:sz w:val="20"/>
                <w:szCs w:val="20"/>
                <w:u w:val="none"/>
                <w:lang w:val="en-US" w:eastAsia="zh-CN"/>
              </w:rPr>
              <w:t>总计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b/>
                <w:bCs/>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b/>
                <w:bCs/>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b/>
                <w:bCs/>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b/>
                <w:bCs/>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b/>
                <w:bCs/>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b/>
                <w:bCs/>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b/>
                <w:bCs/>
                <w:i w:val="0"/>
                <w:iCs w:val="0"/>
                <w:color w:val="000000"/>
                <w:sz w:val="20"/>
                <w:szCs w:val="20"/>
                <w:u w:val="none"/>
              </w:rPr>
            </w:pPr>
          </w:p>
        </w:tc>
      </w:tr>
    </w:tbl>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default" w:ascii="微软雅黑" w:hAnsi="微软雅黑" w:eastAsia="微软雅黑" w:cs="微软雅黑"/>
          <w:b/>
          <w:color w:val="000000"/>
          <w:kern w:val="0"/>
          <w:sz w:val="24"/>
          <w:szCs w:val="2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pPr>
      <w:r>
        <w:rPr>
          <w:rFonts w:hint="eastAsia" w:ascii="微软雅黑" w:hAnsi="微软雅黑" w:eastAsia="微软雅黑" w:cs="微软雅黑"/>
          <w:b/>
          <w:color w:val="000000"/>
          <w:kern w:val="0"/>
          <w:sz w:val="24"/>
          <w:szCs w:val="24"/>
          <w:lang w:val="en-US" w:eastAsia="zh-CN" w:bidi="ar"/>
        </w:rPr>
        <w:t xml:space="preserve">五、投标须知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2" w:firstLineChars="200"/>
        <w:jc w:val="left"/>
        <w:textAlignment w:val="auto"/>
      </w:pPr>
      <w:r>
        <w:rPr>
          <w:rFonts w:hint="eastAsia" w:ascii="宋体" w:hAnsi="宋体" w:eastAsia="宋体" w:cs="宋体"/>
          <w:b/>
          <w:color w:val="000000"/>
          <w:kern w:val="0"/>
          <w:sz w:val="24"/>
          <w:szCs w:val="24"/>
          <w:lang w:val="en-US" w:eastAsia="zh-CN" w:bidi="ar"/>
        </w:rPr>
        <w:t xml:space="preserve">5.1 投标文件：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pPr>
      <w:r>
        <w:rPr>
          <w:rFonts w:hint="eastAsia" w:ascii="宋体" w:hAnsi="宋体" w:eastAsia="宋体" w:cs="宋体"/>
          <w:color w:val="000000"/>
          <w:kern w:val="0"/>
          <w:sz w:val="24"/>
          <w:szCs w:val="24"/>
          <w:lang w:val="en-US" w:eastAsia="zh-CN" w:bidi="ar"/>
        </w:rPr>
        <w:t xml:space="preserve">5.1.1 投标文件一份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pPr>
      <w:r>
        <w:rPr>
          <w:rFonts w:hint="eastAsia" w:ascii="宋体" w:hAnsi="宋体" w:eastAsia="宋体" w:cs="宋体"/>
          <w:color w:val="000000"/>
          <w:kern w:val="0"/>
          <w:sz w:val="24"/>
          <w:szCs w:val="24"/>
          <w:lang w:val="en-US" w:eastAsia="zh-CN" w:bidi="ar"/>
        </w:rPr>
        <w:t xml:space="preserve">5.1.2 投标文件将严格保密。投标人的建议书及对标书全部条款认可的确认信应装在密封的信封内提交，此信应该打印或者钢笔书写。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pPr>
      <w:r>
        <w:rPr>
          <w:rFonts w:hint="eastAsia" w:ascii="宋体" w:hAnsi="宋体" w:eastAsia="宋体" w:cs="宋体"/>
          <w:color w:val="000000"/>
          <w:kern w:val="0"/>
          <w:sz w:val="24"/>
          <w:szCs w:val="24"/>
          <w:lang w:val="en-US" w:eastAsia="zh-CN" w:bidi="ar"/>
        </w:rPr>
        <w:t>5.1.3 信封上应该注明：项目名称、投标人公司全称、地址、联系人姓名和联系方式。业主不接受口头，电话投标。以电子邮件形式投标的，邮件名称为“投标人名称+鑫广绿环环保竣工验收报价”，并在邮件中注明联系人姓名及联系方式。</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pPr>
      <w:r>
        <w:rPr>
          <w:rFonts w:hint="eastAsia" w:ascii="宋体" w:hAnsi="宋体" w:eastAsia="宋体" w:cs="宋体"/>
          <w:color w:val="000000"/>
          <w:kern w:val="0"/>
          <w:sz w:val="24"/>
          <w:szCs w:val="24"/>
          <w:lang w:val="en-US" w:eastAsia="zh-CN" w:bidi="ar"/>
        </w:rPr>
        <w:t>5.1.4 投标书及报价单须</w:t>
      </w:r>
      <w:r>
        <w:rPr>
          <w:rFonts w:hint="eastAsia" w:ascii="宋体" w:hAnsi="宋体" w:eastAsia="宋体" w:cs="宋体"/>
          <w:color w:val="000000"/>
          <w:kern w:val="0"/>
          <w:sz w:val="24"/>
          <w:szCs w:val="24"/>
          <w:highlight w:val="yellow"/>
          <w:lang w:val="en-US" w:eastAsia="zh-CN" w:bidi="ar"/>
        </w:rPr>
        <w:t>加盖单位公章和法人章</w:t>
      </w:r>
      <w:r>
        <w:rPr>
          <w:rFonts w:hint="eastAsia" w:ascii="宋体" w:hAnsi="宋体" w:eastAsia="宋体" w:cs="宋体"/>
          <w:color w:val="000000"/>
          <w:kern w:val="0"/>
          <w:sz w:val="24"/>
          <w:szCs w:val="24"/>
          <w:lang w:val="en-US" w:eastAsia="zh-CN" w:bidi="ar"/>
        </w:rPr>
        <w:t xml:space="preserve">，业主将只接受此招标书所称实体的投标资料。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pPr>
      <w:r>
        <w:rPr>
          <w:rFonts w:hint="eastAsia" w:ascii="宋体" w:hAnsi="宋体" w:eastAsia="宋体" w:cs="宋体"/>
          <w:color w:val="000000"/>
          <w:kern w:val="0"/>
          <w:sz w:val="24"/>
          <w:szCs w:val="24"/>
          <w:lang w:val="en-US" w:eastAsia="zh-CN" w:bidi="ar"/>
        </w:rPr>
        <w:t xml:space="preserve">5.1.5 投标文件的任何修改和擦除须由投标人签字并记录改动日期。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pPr>
      <w:r>
        <w:rPr>
          <w:rFonts w:hint="eastAsia" w:ascii="宋体" w:hAnsi="宋体" w:eastAsia="宋体" w:cs="宋体"/>
          <w:color w:val="000000"/>
          <w:kern w:val="0"/>
          <w:sz w:val="24"/>
          <w:szCs w:val="24"/>
          <w:lang w:val="en-US" w:eastAsia="zh-CN" w:bidi="ar"/>
        </w:rPr>
        <w:t xml:space="preserve">5.1.6 投标人应认识但自己将承担项目成功的责任，在合同执行中，如果发现自己的工作有与我们的要求不符合，应在相关工作进行前及时通报业主。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pPr>
      <w:r>
        <w:rPr>
          <w:rFonts w:hint="eastAsia" w:ascii="宋体" w:hAnsi="宋体" w:eastAsia="宋体" w:cs="宋体"/>
          <w:color w:val="000000"/>
          <w:kern w:val="0"/>
          <w:sz w:val="24"/>
          <w:szCs w:val="24"/>
          <w:lang w:val="en-US" w:eastAsia="zh-CN" w:bidi="ar"/>
        </w:rPr>
        <w:t xml:space="preserve">5.1.7 当投标人提交投标文件时，即表明：投标人已阅读并理解了招标文件，同意招标文件中的合同条款，投标报价是根据标书要求制定的。投标人如在招标文件中发现任何错误、内容不一致或引起歧义的地方，应立即以书面形式与业主联系。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5.1.8 招标人可以更改要求或拒绝所有投标。</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pPr>
      <w:r>
        <w:rPr>
          <w:rFonts w:hint="eastAsia" w:ascii="微软雅黑" w:hAnsi="微软雅黑" w:eastAsia="微软雅黑" w:cs="微软雅黑"/>
          <w:b/>
          <w:color w:val="000000"/>
          <w:kern w:val="0"/>
          <w:sz w:val="24"/>
          <w:szCs w:val="24"/>
          <w:lang w:val="en-US" w:eastAsia="zh-CN" w:bidi="ar"/>
        </w:rPr>
        <w:t xml:space="preserve">六、要求：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pPr>
      <w:r>
        <w:rPr>
          <w:rFonts w:hint="eastAsia" w:ascii="宋体" w:hAnsi="宋体" w:eastAsia="宋体" w:cs="宋体"/>
          <w:color w:val="000000"/>
          <w:kern w:val="0"/>
          <w:sz w:val="24"/>
          <w:szCs w:val="24"/>
          <w:lang w:val="en-US" w:eastAsia="zh-CN" w:bidi="ar"/>
        </w:rPr>
        <w:t>6.1 按照国家有关法律、法规、标准，客观、公正地进行验收工作。</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pPr>
      <w:r>
        <w:rPr>
          <w:rFonts w:hint="eastAsia" w:ascii="宋体" w:hAnsi="宋体" w:eastAsia="宋体" w:cs="宋体"/>
          <w:color w:val="000000"/>
          <w:kern w:val="0"/>
          <w:sz w:val="24"/>
          <w:szCs w:val="24"/>
          <w:lang w:val="en-US" w:eastAsia="zh-CN" w:bidi="ar"/>
        </w:rPr>
        <w:t xml:space="preserve">6.2 投标单位应保证作出的报告符合法律规定及监管部门要求。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pPr>
      <w:r>
        <w:rPr>
          <w:rFonts w:hint="eastAsia" w:ascii="宋体" w:hAnsi="宋体" w:eastAsia="宋体" w:cs="宋体"/>
          <w:color w:val="000000"/>
          <w:kern w:val="0"/>
          <w:sz w:val="24"/>
          <w:szCs w:val="24"/>
          <w:lang w:val="en-US" w:eastAsia="zh-CN" w:bidi="ar"/>
        </w:rPr>
        <w:t xml:space="preserve">6.3 投标单位应对本公司提供技术材料、数据妥善保管，本公司所提供的技术材料、数据和设计本公司的商业秘密乙方不得引用、发表和向第三者提供。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pPr>
      <w:r>
        <w:rPr>
          <w:rFonts w:hint="eastAsia" w:ascii="宋体" w:hAnsi="宋体" w:eastAsia="宋体" w:cs="宋体"/>
          <w:color w:val="000000"/>
          <w:kern w:val="0"/>
          <w:sz w:val="24"/>
          <w:szCs w:val="24"/>
          <w:lang w:val="en-US" w:eastAsia="zh-CN" w:bidi="ar"/>
        </w:rPr>
        <w:t xml:space="preserve">6.4 投标单位向本公司提供力所能及的其他咨询服务。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pPr>
      <w:r>
        <w:rPr>
          <w:rFonts w:hint="eastAsia" w:ascii="微软雅黑" w:hAnsi="微软雅黑" w:eastAsia="微软雅黑" w:cs="微软雅黑"/>
          <w:b/>
          <w:color w:val="000000"/>
          <w:kern w:val="0"/>
          <w:sz w:val="24"/>
          <w:szCs w:val="24"/>
          <w:lang w:val="en-US" w:eastAsia="zh-CN" w:bidi="ar"/>
        </w:rPr>
        <w:t xml:space="preserve">七、填写投标标单：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pPr>
      <w:r>
        <w:rPr>
          <w:rFonts w:hint="eastAsia" w:ascii="宋体" w:hAnsi="宋体" w:eastAsia="宋体" w:cs="宋体"/>
          <w:color w:val="000000"/>
          <w:kern w:val="0"/>
          <w:sz w:val="24"/>
          <w:szCs w:val="24"/>
          <w:lang w:val="en-US" w:eastAsia="zh-CN" w:bidi="ar"/>
        </w:rPr>
        <w:t xml:space="preserve">7.1 参与投标之单位按本公司标准单元格式填写标单，标单上应加盖投标单位的公章及代表人签字，所有投标价格必须用阿拉伯数字明确至小数后两位；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pPr>
      <w:r>
        <w:rPr>
          <w:rFonts w:hint="eastAsia" w:ascii="宋体" w:hAnsi="宋体" w:eastAsia="宋体" w:cs="宋体"/>
          <w:color w:val="000000"/>
          <w:kern w:val="0"/>
          <w:sz w:val="24"/>
          <w:szCs w:val="24"/>
          <w:lang w:val="en-US" w:eastAsia="zh-CN" w:bidi="ar"/>
        </w:rPr>
        <w:t xml:space="preserve">（注：涂改处请在一旁签字确认，否则视为无效）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pPr>
      <w:r>
        <w:rPr>
          <w:rFonts w:hint="eastAsia" w:ascii="宋体" w:hAnsi="宋体" w:eastAsia="宋体" w:cs="宋体"/>
          <w:color w:val="000000"/>
          <w:kern w:val="0"/>
          <w:sz w:val="24"/>
          <w:szCs w:val="24"/>
          <w:lang w:val="en-US" w:eastAsia="zh-CN" w:bidi="ar"/>
        </w:rPr>
        <w:t xml:space="preserve">7.2 投标价格的单价总计与合计金额不相符时，以价低者为准。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pPr>
      <w:r>
        <w:rPr>
          <w:rFonts w:hint="eastAsia" w:ascii="宋体" w:hAnsi="宋体" w:eastAsia="宋体" w:cs="宋体"/>
          <w:color w:val="000000"/>
          <w:kern w:val="0"/>
          <w:sz w:val="24"/>
          <w:szCs w:val="24"/>
          <w:lang w:val="en-US" w:eastAsia="zh-CN" w:bidi="ar"/>
        </w:rPr>
        <w:t>7.3 合同签订后业主将不接受承包商以任何理由提出的费用追加或增补要求。</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 xml:space="preserve">7.4 投标人应对报价的完整性承担全面责任。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pPr>
      <w:r>
        <w:rPr>
          <w:rFonts w:hint="eastAsia" w:ascii="微软雅黑" w:hAnsi="微软雅黑" w:eastAsia="微软雅黑" w:cs="微软雅黑"/>
          <w:b/>
          <w:color w:val="000000"/>
          <w:kern w:val="0"/>
          <w:sz w:val="24"/>
          <w:szCs w:val="24"/>
          <w:lang w:val="en-US" w:eastAsia="zh-CN" w:bidi="ar"/>
        </w:rPr>
        <w:t xml:space="preserve">八、投标单位与本公司之共同约定条件：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pPr>
      <w:r>
        <w:rPr>
          <w:rFonts w:hint="eastAsia" w:ascii="宋体" w:hAnsi="宋体" w:eastAsia="宋体" w:cs="宋体"/>
          <w:color w:val="000000"/>
          <w:kern w:val="0"/>
          <w:sz w:val="24"/>
          <w:szCs w:val="24"/>
          <w:lang w:val="en-US" w:eastAsia="zh-CN" w:bidi="ar"/>
        </w:rPr>
        <w:t xml:space="preserve">8.1 凡中标单位于合同期间不履行合同义务，任意停止或退出者，则一年以内不得再参与本公司相关业务。同时本公司有权依投标价格之顺序，洽请下一家投标单位来替补承接其相关业务。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8.2 本次投标采用“暗封公开明标”之方式，并于开标后即刻排出投标单位的综合得分顺序位，其名次表作为替补之依据。</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pPr>
      <w:r>
        <w:rPr>
          <w:rFonts w:hint="eastAsia" w:ascii="宋体" w:hAnsi="宋体" w:eastAsia="宋体" w:cs="宋体"/>
          <w:color w:val="000000"/>
          <w:kern w:val="0"/>
          <w:sz w:val="24"/>
          <w:szCs w:val="24"/>
          <w:lang w:val="en-US" w:eastAsia="zh-CN" w:bidi="ar"/>
        </w:rPr>
        <w:t>8.3 投标单位所投出的标单必须按不同项目分别标出单价，若全体参与投标的单位投标价格均高于或低于正常价时，本公司有权废标，并组织第二轮投标。</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pPr>
      <w:r>
        <w:rPr>
          <w:rFonts w:hint="eastAsia" w:ascii="宋体" w:hAnsi="宋体" w:eastAsia="宋体" w:cs="宋体"/>
          <w:color w:val="000000"/>
          <w:kern w:val="0"/>
          <w:sz w:val="24"/>
          <w:szCs w:val="24"/>
          <w:lang w:val="en-US" w:eastAsia="zh-CN" w:bidi="ar"/>
        </w:rPr>
        <w:t xml:space="preserve">8.4 原则上以综合评分最高者为中标基础。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pPr>
      <w:r>
        <w:rPr>
          <w:rFonts w:hint="eastAsia" w:ascii="宋体" w:hAnsi="宋体" w:eastAsia="宋体" w:cs="宋体"/>
          <w:color w:val="000000"/>
          <w:kern w:val="0"/>
          <w:sz w:val="24"/>
          <w:szCs w:val="24"/>
          <w:lang w:val="en-US" w:eastAsia="zh-CN" w:bidi="ar"/>
        </w:rPr>
        <w:t xml:space="preserve">8.5 凡中标单位，须在收到本公司的中标通知书之日起一周内签订合同，如拒签合同，视为弃标，一年内不得再参与本公司任何业务。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pPr>
      <w:r>
        <w:rPr>
          <w:rFonts w:hint="eastAsia" w:ascii="宋体" w:hAnsi="宋体" w:eastAsia="宋体" w:cs="宋体"/>
          <w:color w:val="000000"/>
          <w:kern w:val="0"/>
          <w:sz w:val="24"/>
          <w:szCs w:val="24"/>
          <w:lang w:val="en-US" w:eastAsia="zh-CN" w:bidi="ar"/>
        </w:rPr>
        <w:t xml:space="preserve">8.6 投标单位以他人的名义投标、串通投标、以行贿手段谋取中标或者以其他弄虚作假方式投标的，标书无效。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pPr>
      <w:r>
        <w:rPr>
          <w:rFonts w:hint="eastAsia" w:ascii="宋体" w:hAnsi="宋体" w:eastAsia="宋体" w:cs="宋体"/>
          <w:color w:val="000000"/>
          <w:kern w:val="0"/>
          <w:sz w:val="24"/>
          <w:szCs w:val="24"/>
          <w:lang w:val="en-US" w:eastAsia="zh-CN" w:bidi="ar"/>
        </w:rPr>
        <w:t xml:space="preserve">8.7如中标单位在本公司发生事故，因此造成本公司及员工损失、伤害的，由中标单位承担全部赔偿责任。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 xml:space="preserve">8.8 凡投标之单位，均视为接受本招标书之各项要求，并作为合同之条款。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000000"/>
          <w:kern w:val="0"/>
          <w:sz w:val="24"/>
          <w:szCs w:val="2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000000"/>
          <w:kern w:val="0"/>
          <w:sz w:val="24"/>
          <w:szCs w:val="2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 xml:space="preserve">附 </w:t>
      </w:r>
      <w:bookmarkStart w:id="0" w:name="_GoBack"/>
      <w:bookmarkEnd w:id="0"/>
      <w:r>
        <w:rPr>
          <w:rFonts w:hint="eastAsia" w:ascii="宋体" w:hAnsi="宋体" w:eastAsia="宋体" w:cs="宋体"/>
          <w:color w:val="000000"/>
          <w:kern w:val="0"/>
          <w:sz w:val="24"/>
          <w:szCs w:val="24"/>
          <w:lang w:val="en-US" w:eastAsia="zh-CN" w:bidi="ar"/>
        </w:rPr>
        <w:t>监测方案：</w:t>
      </w:r>
    </w:p>
    <w:tbl>
      <w:tblPr>
        <w:tblStyle w:val="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383"/>
        <w:gridCol w:w="1291"/>
        <w:gridCol w:w="2850"/>
        <w:gridCol w:w="1860"/>
        <w:gridCol w:w="213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98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项目名称</w:t>
            </w:r>
          </w:p>
        </w:tc>
        <w:tc>
          <w:tcPr>
            <w:tcW w:w="401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ascii="新宋体" w:hAnsi="新宋体" w:eastAsia="新宋体" w:cs="新宋体"/>
                <w:i w:val="0"/>
                <w:iCs w:val="0"/>
                <w:color w:val="000000"/>
                <w:sz w:val="24"/>
                <w:szCs w:val="24"/>
                <w:u w:val="none"/>
              </w:rPr>
            </w:pPr>
            <w:r>
              <w:rPr>
                <w:rFonts w:hint="eastAsia" w:ascii="新宋体" w:hAnsi="新宋体" w:eastAsia="新宋体" w:cs="新宋体"/>
                <w:i w:val="0"/>
                <w:iCs w:val="0"/>
                <w:color w:val="000000"/>
                <w:kern w:val="0"/>
                <w:sz w:val="24"/>
                <w:szCs w:val="24"/>
                <w:u w:val="none"/>
                <w:lang w:val="en-US" w:eastAsia="zh-CN" w:bidi="ar"/>
              </w:rPr>
              <w:t>废旧汽车回收拆解及资源化利用技改项目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05" w:hRule="atLeast"/>
        </w:trPr>
        <w:tc>
          <w:tcPr>
            <w:tcW w:w="22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监测因子</w:t>
            </w:r>
          </w:p>
        </w:tc>
        <w:tc>
          <w:tcPr>
            <w:tcW w:w="7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有组织废气</w:t>
            </w:r>
          </w:p>
        </w:tc>
        <w:tc>
          <w:tcPr>
            <w:tcW w:w="16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Style w:val="5"/>
                <w:lang w:val="en-US" w:eastAsia="zh-CN" w:bidi="ar"/>
              </w:rPr>
              <w:t>①</w:t>
            </w:r>
            <w:r>
              <w:rPr>
                <w:rStyle w:val="6"/>
                <w:rFonts w:eastAsia="宋体"/>
                <w:lang w:val="en-US" w:eastAsia="zh-CN" w:bidi="ar"/>
              </w:rPr>
              <w:t xml:space="preserve"> </w:t>
            </w:r>
            <w:r>
              <w:rPr>
                <w:rStyle w:val="5"/>
                <w:lang w:val="en-US" w:eastAsia="zh-CN" w:bidi="ar"/>
              </w:rPr>
              <w:t>排气筒</w:t>
            </w:r>
            <w:r>
              <w:rPr>
                <w:rStyle w:val="6"/>
                <w:rFonts w:eastAsia="宋体"/>
                <w:lang w:val="en-US" w:eastAsia="zh-CN" w:bidi="ar"/>
              </w:rPr>
              <w:t>P1</w:t>
            </w:r>
            <w:r>
              <w:rPr>
                <w:rStyle w:val="5"/>
                <w:lang w:val="en-US" w:eastAsia="zh-CN" w:bidi="ar"/>
              </w:rPr>
              <w:t>（出口）：颗粒物；废气量。</w:t>
            </w:r>
          </w:p>
        </w:tc>
        <w:tc>
          <w:tcPr>
            <w:tcW w:w="10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Style w:val="5"/>
                <w:lang w:val="en-US" w:eastAsia="zh-CN" w:bidi="ar"/>
              </w:rPr>
              <w:t>②</w:t>
            </w:r>
            <w:r>
              <w:rPr>
                <w:rStyle w:val="6"/>
                <w:rFonts w:eastAsia="宋体"/>
                <w:lang w:val="en-US" w:eastAsia="zh-CN" w:bidi="ar"/>
              </w:rPr>
              <w:t xml:space="preserve"> </w:t>
            </w:r>
            <w:r>
              <w:rPr>
                <w:rStyle w:val="5"/>
                <w:lang w:val="en-US" w:eastAsia="zh-CN" w:bidi="ar"/>
              </w:rPr>
              <w:t>排气筒</w:t>
            </w:r>
            <w:r>
              <w:rPr>
                <w:rStyle w:val="6"/>
                <w:rFonts w:eastAsia="宋体"/>
                <w:lang w:val="en-US" w:eastAsia="zh-CN" w:bidi="ar"/>
              </w:rPr>
              <w:t>P2</w:t>
            </w:r>
            <w:r>
              <w:rPr>
                <w:rStyle w:val="5"/>
                <w:lang w:val="en-US" w:eastAsia="zh-CN" w:bidi="ar"/>
              </w:rPr>
              <w:t>（出口）：颗粒物；废气量。</w:t>
            </w:r>
          </w:p>
        </w:tc>
        <w:tc>
          <w:tcPr>
            <w:tcW w:w="12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Style w:val="5"/>
                <w:lang w:val="en-US" w:eastAsia="zh-CN" w:bidi="ar"/>
              </w:rPr>
              <w:t>③</w:t>
            </w:r>
            <w:r>
              <w:rPr>
                <w:rStyle w:val="6"/>
                <w:rFonts w:eastAsia="宋体"/>
                <w:lang w:val="en-US" w:eastAsia="zh-CN" w:bidi="ar"/>
              </w:rPr>
              <w:t xml:space="preserve"> </w:t>
            </w:r>
            <w:r>
              <w:rPr>
                <w:rStyle w:val="5"/>
                <w:lang w:val="en-US" w:eastAsia="zh-CN" w:bidi="ar"/>
              </w:rPr>
              <w:t>排气筒</w:t>
            </w:r>
            <w:r>
              <w:rPr>
                <w:rStyle w:val="6"/>
                <w:rFonts w:eastAsia="宋体"/>
                <w:lang w:val="en-US" w:eastAsia="zh-CN" w:bidi="ar"/>
              </w:rPr>
              <w:t>P3</w:t>
            </w:r>
            <w:r>
              <w:rPr>
                <w:rStyle w:val="5"/>
                <w:lang w:val="en-US" w:eastAsia="zh-CN" w:bidi="ar"/>
              </w:rPr>
              <w:t>（出口）：颗粒物、硫酸雾（非正常工况下）；废气量。</w:t>
            </w:r>
            <w:r>
              <w:rPr>
                <w:rStyle w:val="6"/>
                <w:rFonts w:eastAsia="宋体"/>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25" w:hRule="atLeast"/>
        </w:trPr>
        <w:tc>
          <w:tcPr>
            <w:tcW w:w="22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7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无组织废气</w:t>
            </w:r>
          </w:p>
        </w:tc>
        <w:tc>
          <w:tcPr>
            <w:tcW w:w="16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Style w:val="5"/>
                <w:lang w:val="en-US" w:eastAsia="zh-CN" w:bidi="ar"/>
              </w:rPr>
              <w:t>厂界上风向一个点，下风向三个点：颗粒物、</w:t>
            </w:r>
            <w:r>
              <w:rPr>
                <w:rStyle w:val="6"/>
                <w:rFonts w:eastAsia="宋体"/>
                <w:lang w:val="en-US" w:eastAsia="zh-CN" w:bidi="ar"/>
              </w:rPr>
              <w:t>VOCs</w:t>
            </w:r>
            <w:r>
              <w:rPr>
                <w:rStyle w:val="5"/>
                <w:lang w:val="en-US" w:eastAsia="zh-CN" w:bidi="ar"/>
              </w:rPr>
              <w:t>（以非甲烷总烃计）；</w:t>
            </w:r>
          </w:p>
        </w:tc>
        <w:tc>
          <w:tcPr>
            <w:tcW w:w="10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Style w:val="5"/>
                <w:lang w:val="en-US" w:eastAsia="zh-CN" w:bidi="ar"/>
              </w:rPr>
              <w:t>厂内</w:t>
            </w:r>
            <w:r>
              <w:rPr>
                <w:rStyle w:val="6"/>
                <w:rFonts w:eastAsia="宋体"/>
                <w:lang w:val="en-US" w:eastAsia="zh-CN" w:bidi="ar"/>
              </w:rPr>
              <w:t>1</w:t>
            </w:r>
            <w:r>
              <w:rPr>
                <w:rStyle w:val="5"/>
                <w:lang w:val="en-US" w:eastAsia="zh-CN" w:bidi="ar"/>
              </w:rPr>
              <w:t>个点：车间门口</w:t>
            </w:r>
            <w:r>
              <w:rPr>
                <w:rStyle w:val="6"/>
                <w:rFonts w:eastAsia="宋体"/>
                <w:lang w:val="en-US" w:eastAsia="zh-CN" w:bidi="ar"/>
              </w:rPr>
              <w:t>VOCs</w:t>
            </w:r>
            <w:r>
              <w:rPr>
                <w:rStyle w:val="5"/>
                <w:lang w:val="en-US" w:eastAsia="zh-CN" w:bidi="ar"/>
              </w:rPr>
              <w:t>（以非甲烷总烃计）。</w:t>
            </w:r>
          </w:p>
        </w:tc>
        <w:tc>
          <w:tcPr>
            <w:tcW w:w="12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95" w:hRule="atLeast"/>
        </w:trPr>
        <w:tc>
          <w:tcPr>
            <w:tcW w:w="22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7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废水</w:t>
            </w:r>
          </w:p>
        </w:tc>
        <w:tc>
          <w:tcPr>
            <w:tcW w:w="401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Style w:val="5"/>
                <w:lang w:val="en-US" w:eastAsia="zh-CN" w:bidi="ar"/>
              </w:rPr>
              <w:t>污水总排口（</w:t>
            </w:r>
            <w:r>
              <w:rPr>
                <w:rStyle w:val="6"/>
                <w:rFonts w:eastAsia="宋体"/>
                <w:lang w:val="en-US" w:eastAsia="zh-CN" w:bidi="ar"/>
              </w:rPr>
              <w:t>GB/T31962-2015</w:t>
            </w:r>
            <w:r>
              <w:rPr>
                <w:rStyle w:val="5"/>
                <w:lang w:val="en-US" w:eastAsia="zh-CN" w:bidi="ar"/>
              </w:rPr>
              <w:t>表</w:t>
            </w:r>
            <w:r>
              <w:rPr>
                <w:rStyle w:val="6"/>
                <w:rFonts w:eastAsia="宋体"/>
                <w:lang w:val="en-US" w:eastAsia="zh-CN" w:bidi="ar"/>
              </w:rPr>
              <w:t>1B</w:t>
            </w:r>
            <w:r>
              <w:rPr>
                <w:rStyle w:val="5"/>
                <w:lang w:val="en-US" w:eastAsia="zh-CN" w:bidi="ar"/>
              </w:rPr>
              <w:t>等级）：悬浮物、溶解性总固体、石油类、</w:t>
            </w:r>
            <w:r>
              <w:rPr>
                <w:rStyle w:val="6"/>
                <w:rFonts w:eastAsia="宋体"/>
                <w:lang w:val="en-US" w:eastAsia="zh-CN" w:bidi="ar"/>
              </w:rPr>
              <w:t>pH</w:t>
            </w:r>
            <w:r>
              <w:rPr>
                <w:rStyle w:val="5"/>
                <w:lang w:val="en-US" w:eastAsia="zh-CN" w:bidi="ar"/>
              </w:rPr>
              <w:t>值、化学需氧量、五日生化需氧量、氨氮、总氮、总磷、阴离子表面活性剂、总余氯，同时记录流量、水温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0" w:hRule="atLeast"/>
        </w:trPr>
        <w:tc>
          <w:tcPr>
            <w:tcW w:w="22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7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噪声</w:t>
            </w:r>
          </w:p>
        </w:tc>
        <w:tc>
          <w:tcPr>
            <w:tcW w:w="401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Style w:val="5"/>
                <w:lang w:val="en-US" w:eastAsia="zh-CN" w:bidi="ar"/>
              </w:rPr>
              <w:t>厂界昼、夜间噪声（</w:t>
            </w:r>
            <w:r>
              <w:rPr>
                <w:rStyle w:val="6"/>
                <w:rFonts w:eastAsia="宋体"/>
                <w:lang w:val="en-US" w:eastAsia="zh-CN" w:bidi="ar"/>
              </w:rPr>
              <w:t>3</w:t>
            </w:r>
            <w:r>
              <w:rPr>
                <w:rStyle w:val="5"/>
                <w:lang w:val="en-US" w:eastAsia="zh-CN" w:bidi="ar"/>
              </w:rPr>
              <w:t>类标准）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24" w:type="pct"/>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4"/>
                <w:szCs w:val="24"/>
                <w:u w:val="none"/>
              </w:rPr>
            </w:pPr>
          </w:p>
        </w:tc>
        <w:tc>
          <w:tcPr>
            <w:tcW w:w="4775" w:type="pct"/>
            <w:gridSpan w:val="4"/>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检测频次要求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24" w:type="pct"/>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4"/>
                <w:szCs w:val="24"/>
                <w:u w:val="none"/>
              </w:rPr>
            </w:pPr>
          </w:p>
        </w:tc>
        <w:tc>
          <w:tcPr>
            <w:tcW w:w="4775" w:type="pct"/>
            <w:gridSpan w:val="4"/>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按照《建设项目竣工环境保护验收技术指南 污染影响类》执行：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24" w:type="pct"/>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4"/>
                <w:szCs w:val="24"/>
                <w:u w:val="none"/>
              </w:rPr>
            </w:pPr>
          </w:p>
        </w:tc>
        <w:tc>
          <w:tcPr>
            <w:tcW w:w="4775" w:type="pct"/>
            <w:gridSpan w:val="4"/>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（1）废气连续监测2天，每天3次；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24" w:type="pct"/>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4"/>
                <w:szCs w:val="24"/>
                <w:u w:val="none"/>
              </w:rPr>
            </w:pPr>
          </w:p>
        </w:tc>
        <w:tc>
          <w:tcPr>
            <w:tcW w:w="4775" w:type="pct"/>
            <w:gridSpan w:val="4"/>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（2）废水连续监测2天，每天4次；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24" w:type="pct"/>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4"/>
                <w:szCs w:val="24"/>
                <w:u w:val="none"/>
              </w:rPr>
            </w:pPr>
          </w:p>
        </w:tc>
        <w:tc>
          <w:tcPr>
            <w:tcW w:w="4775" w:type="pct"/>
            <w:gridSpan w:val="4"/>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（3）噪声连续监测2天，昼夜各一次。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0" w:hRule="atLeast"/>
        </w:trPr>
        <w:tc>
          <w:tcPr>
            <w:tcW w:w="224" w:type="pct"/>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4"/>
                <w:szCs w:val="24"/>
                <w:u w:val="none"/>
              </w:rPr>
            </w:pPr>
          </w:p>
        </w:tc>
        <w:tc>
          <w:tcPr>
            <w:tcW w:w="757" w:type="pct"/>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4"/>
                <w:szCs w:val="24"/>
                <w:u w:val="none"/>
              </w:rPr>
            </w:pPr>
          </w:p>
        </w:tc>
        <w:tc>
          <w:tcPr>
            <w:tcW w:w="1672" w:type="pct"/>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4"/>
                <w:szCs w:val="24"/>
                <w:u w:val="none"/>
              </w:rPr>
            </w:pPr>
          </w:p>
        </w:tc>
        <w:tc>
          <w:tcPr>
            <w:tcW w:w="1091" w:type="pct"/>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4"/>
                <w:szCs w:val="24"/>
                <w:u w:val="none"/>
              </w:rPr>
            </w:pPr>
          </w:p>
        </w:tc>
        <w:tc>
          <w:tcPr>
            <w:tcW w:w="1254" w:type="pct"/>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4"/>
                <w:szCs w:val="24"/>
                <w:u w:val="none"/>
              </w:rPr>
            </w:pPr>
          </w:p>
        </w:tc>
      </w:tr>
    </w:tbl>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default" w:ascii="宋体" w:hAnsi="宋体" w:eastAsia="宋体" w:cs="宋体"/>
          <w:color w:val="000000"/>
          <w:kern w:val="0"/>
          <w:sz w:val="24"/>
          <w:szCs w:val="2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default" w:ascii="宋体" w:hAnsi="宋体" w:eastAsia="宋体" w:cs="宋体"/>
          <w:color w:val="000000"/>
          <w:kern w:val="0"/>
          <w:sz w:val="24"/>
          <w:szCs w:val="2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default" w:ascii="宋体" w:hAnsi="宋体" w:eastAsia="宋体" w:cs="宋体"/>
          <w:color w:val="000000"/>
          <w:kern w:val="0"/>
          <w:sz w:val="24"/>
          <w:szCs w:val="2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default" w:ascii="宋体" w:hAnsi="宋体" w:eastAsia="宋体" w:cs="宋体"/>
          <w:color w:val="000000"/>
          <w:kern w:val="0"/>
          <w:sz w:val="24"/>
          <w:szCs w:val="2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default" w:ascii="宋体" w:hAnsi="宋体" w:eastAsia="宋体" w:cs="宋体"/>
          <w:color w:val="000000"/>
          <w:kern w:val="0"/>
          <w:sz w:val="24"/>
          <w:szCs w:val="2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default" w:ascii="宋体" w:hAnsi="宋体" w:eastAsia="宋体" w:cs="宋体"/>
          <w:color w:val="000000"/>
          <w:kern w:val="0"/>
          <w:sz w:val="24"/>
          <w:szCs w:val="2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default" w:ascii="宋体" w:hAnsi="宋体" w:eastAsia="宋体" w:cs="宋体"/>
          <w:color w:val="000000"/>
          <w:kern w:val="0"/>
          <w:sz w:val="24"/>
          <w:szCs w:val="2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default" w:ascii="宋体" w:hAnsi="宋体" w:eastAsia="宋体" w:cs="宋体"/>
          <w:color w:val="000000"/>
          <w:kern w:val="0"/>
          <w:sz w:val="24"/>
          <w:szCs w:val="2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default" w:ascii="宋体" w:hAnsi="宋体" w:eastAsia="宋体" w:cs="宋体"/>
          <w:color w:val="000000"/>
          <w:kern w:val="0"/>
          <w:sz w:val="24"/>
          <w:szCs w:val="2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default" w:ascii="宋体" w:hAnsi="宋体" w:eastAsia="宋体" w:cs="宋体"/>
          <w:color w:val="000000"/>
          <w:kern w:val="0"/>
          <w:sz w:val="24"/>
          <w:szCs w:val="24"/>
          <w:lang w:val="en-US" w:eastAsia="zh-CN" w:bidi="ar"/>
        </w:rPr>
      </w:pPr>
    </w:p>
    <w:tbl>
      <w:tblPr>
        <w:tblStyle w:val="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59"/>
        <w:gridCol w:w="900"/>
        <w:gridCol w:w="2115"/>
        <w:gridCol w:w="1980"/>
        <w:gridCol w:w="975"/>
        <w:gridCol w:w="1200"/>
        <w:gridCol w:w="89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9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项目名称</w:t>
            </w:r>
          </w:p>
        </w:tc>
        <w:tc>
          <w:tcPr>
            <w:tcW w:w="4202"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危废处置中心技改项目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59" w:hRule="atLeast"/>
        </w:trPr>
        <w:tc>
          <w:tcPr>
            <w:tcW w:w="26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监测因子</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有组织废气</w:t>
            </w:r>
          </w:p>
        </w:tc>
        <w:tc>
          <w:tcPr>
            <w:tcW w:w="1240" w:type="pct"/>
            <w:tcBorders>
              <w:top w:val="single" w:color="000000" w:sz="4" w:space="0"/>
              <w:left w:val="single" w:color="000000" w:sz="4" w:space="0"/>
              <w:bottom w:val="single" w:color="000000" w:sz="4" w:space="0"/>
              <w:right w:val="single" w:color="000000" w:sz="4" w:space="0"/>
            </w:tcBorders>
            <w:shd w:val="clear" w:color="auto" w:fill="ED7D31"/>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①焚烧炉35m排气筒P1（出口）：颗粒物、二氧化硫、氮氧化物；一氧化碳、氯化氢、氟化氢、汞、砷、铅、镉及其化合物、镍、锡、锑、铜、锰及其化合物、二噁英类；VOCs（以非甲烷总烃计）；废气量。</w:t>
            </w:r>
          </w:p>
        </w:tc>
        <w:tc>
          <w:tcPr>
            <w:tcW w:w="1161" w:type="pct"/>
            <w:tcBorders>
              <w:top w:val="single" w:color="000000" w:sz="4" w:space="0"/>
              <w:left w:val="single" w:color="000000" w:sz="4" w:space="0"/>
              <w:bottom w:val="single" w:color="000000" w:sz="4" w:space="0"/>
              <w:right w:val="single" w:color="000000" w:sz="4" w:space="0"/>
            </w:tcBorders>
            <w:shd w:val="clear" w:color="auto" w:fill="ED7D31"/>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②焚烧炉口排气筒P2（出口）：VOCs（以非甲烷总烃计）、苯、甲苯、二甲苯、氯化氢、氨、硫化氢、氟化氢；废气量。</w:t>
            </w:r>
          </w:p>
        </w:tc>
        <w:tc>
          <w:tcPr>
            <w:tcW w:w="5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③破碎排气筒P3（出口）：颗粒物；废气量。</w:t>
            </w:r>
          </w:p>
        </w:tc>
        <w:tc>
          <w:tcPr>
            <w:tcW w:w="7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④危废间排气筒P4（出口）：VOCs（以非甲烷总烃计）、苯、甲苯、二甲苯、氯化氢；废气量。</w:t>
            </w:r>
          </w:p>
        </w:tc>
        <w:tc>
          <w:tcPr>
            <w:tcW w:w="5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⑤污水处理站P5（出口）：氨、硫化氢、臭气浓度；废气量。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80" w:hRule="atLeast"/>
        </w:trPr>
        <w:tc>
          <w:tcPr>
            <w:tcW w:w="26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4"/>
                <w:szCs w:val="24"/>
                <w:u w:val="none"/>
              </w:rPr>
            </w:pP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无组织废气</w:t>
            </w:r>
          </w:p>
        </w:tc>
        <w:tc>
          <w:tcPr>
            <w:tcW w:w="12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①厂界上风向一个点，下风向三个点：颗粒物、氯化氢、氟化物、氨、硫化氢、臭气浓度、甲苯、二甲苯、VOCs（以非甲烷总烃计）。</w:t>
            </w:r>
          </w:p>
        </w:tc>
        <w:tc>
          <w:tcPr>
            <w:tcW w:w="11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②厂内1个点：焚烧车间门口VOCs（以非甲烷总烃计）。</w:t>
            </w:r>
          </w:p>
        </w:tc>
        <w:tc>
          <w:tcPr>
            <w:tcW w:w="5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0" w:hRule="atLeast"/>
        </w:trPr>
        <w:tc>
          <w:tcPr>
            <w:tcW w:w="26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4"/>
                <w:szCs w:val="24"/>
                <w:u w:val="none"/>
              </w:rPr>
            </w:pP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废水</w:t>
            </w:r>
          </w:p>
        </w:tc>
        <w:tc>
          <w:tcPr>
            <w:tcW w:w="12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①车间排放口：总汞、总镉、总铬、六价铬、总砷、总铅。</w:t>
            </w:r>
          </w:p>
        </w:tc>
        <w:tc>
          <w:tcPr>
            <w:tcW w:w="11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②污水总排口：悬浮物、溶解性总固体、石油类、pH值、化学需氧量、五日生化需氧量、氨氮、总氮、总磷、阴离子表面活性剂、总余氯；总汞、总镉、总铬、六价铬、总砷、总铅.同时记录流量、水温。</w:t>
            </w:r>
          </w:p>
        </w:tc>
        <w:tc>
          <w:tcPr>
            <w:tcW w:w="5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26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4"/>
                <w:szCs w:val="24"/>
                <w:u w:val="none"/>
              </w:rPr>
            </w:pP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噪声</w:t>
            </w:r>
          </w:p>
        </w:tc>
        <w:tc>
          <w:tcPr>
            <w:tcW w:w="4202"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厂界昼、夜间噪声（3类标准）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26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4"/>
                <w:szCs w:val="24"/>
                <w:u w:val="none"/>
              </w:rPr>
            </w:pP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环境空气</w:t>
            </w:r>
          </w:p>
        </w:tc>
        <w:tc>
          <w:tcPr>
            <w:tcW w:w="4202"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1个点位，厂界下风向：HCl（小时值、日均值）、二噁英类（日均值）、氨、硫化氢、臭气浓度、非甲烷总烃。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26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4"/>
                <w:szCs w:val="24"/>
                <w:u w:val="none"/>
              </w:rPr>
            </w:pP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土壤</w:t>
            </w:r>
          </w:p>
        </w:tc>
        <w:tc>
          <w:tcPr>
            <w:tcW w:w="4202"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3个柱状点：GB36600表1中45项+二噁英 、氟化物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00" w:hRule="atLeast"/>
        </w:trPr>
        <w:tc>
          <w:tcPr>
            <w:tcW w:w="26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4"/>
                <w:szCs w:val="24"/>
                <w:u w:val="none"/>
              </w:rPr>
            </w:pP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地下水</w:t>
            </w:r>
          </w:p>
        </w:tc>
        <w:tc>
          <w:tcPr>
            <w:tcW w:w="4202"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厂内3个监控井：pH、总硬度（以CaCO</w:t>
            </w:r>
            <w:r>
              <w:rPr>
                <w:rStyle w:val="7"/>
                <w:lang w:val="en-US" w:eastAsia="zh-CN" w:bidi="ar"/>
              </w:rPr>
              <w:t>3</w:t>
            </w:r>
            <w:r>
              <w:rPr>
                <w:rStyle w:val="8"/>
                <w:lang w:val="en-US" w:eastAsia="zh-CN" w:bidi="ar"/>
              </w:rPr>
              <w:t>计）、溶解性总固体、高锰酸盐指数、硝酸盐（以N计）、亚硝酸盐（以N计）、氨氮、氟化物、氯化物、硫酸盐、挥发性酚类、汞、砷、铬、镉、铅、镍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69" w:type="pct"/>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4"/>
                <w:szCs w:val="24"/>
                <w:u w:val="none"/>
              </w:rPr>
            </w:pPr>
          </w:p>
        </w:tc>
        <w:tc>
          <w:tcPr>
            <w:tcW w:w="528" w:type="pct"/>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4"/>
                <w:szCs w:val="24"/>
                <w:u w:val="none"/>
              </w:rPr>
            </w:pPr>
          </w:p>
        </w:tc>
        <w:tc>
          <w:tcPr>
            <w:tcW w:w="1240" w:type="pct"/>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4"/>
                <w:szCs w:val="24"/>
                <w:u w:val="none"/>
              </w:rPr>
            </w:pPr>
          </w:p>
        </w:tc>
        <w:tc>
          <w:tcPr>
            <w:tcW w:w="1161" w:type="pct"/>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4"/>
                <w:szCs w:val="24"/>
                <w:u w:val="none"/>
              </w:rPr>
            </w:pPr>
          </w:p>
        </w:tc>
        <w:tc>
          <w:tcPr>
            <w:tcW w:w="572" w:type="pct"/>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4"/>
                <w:szCs w:val="24"/>
                <w:u w:val="none"/>
              </w:rPr>
            </w:pPr>
          </w:p>
        </w:tc>
        <w:tc>
          <w:tcPr>
            <w:tcW w:w="704" w:type="pct"/>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4"/>
                <w:szCs w:val="24"/>
                <w:u w:val="none"/>
              </w:rPr>
            </w:pPr>
          </w:p>
        </w:tc>
        <w:tc>
          <w:tcPr>
            <w:tcW w:w="523" w:type="pct"/>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69" w:type="pct"/>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4"/>
                <w:szCs w:val="24"/>
                <w:u w:val="none"/>
              </w:rPr>
            </w:pPr>
          </w:p>
        </w:tc>
        <w:tc>
          <w:tcPr>
            <w:tcW w:w="4730" w:type="pct"/>
            <w:gridSpan w:val="6"/>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检测频次要求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69" w:type="pct"/>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4"/>
                <w:szCs w:val="24"/>
                <w:u w:val="none"/>
              </w:rPr>
            </w:pPr>
          </w:p>
        </w:tc>
        <w:tc>
          <w:tcPr>
            <w:tcW w:w="4730" w:type="pct"/>
            <w:gridSpan w:val="6"/>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按照《建设项目竣工环境保护验收技术指南 污染影响类》执行：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69" w:type="pct"/>
            <w:tcBorders>
              <w:top w:val="nil"/>
              <w:left w:val="nil"/>
              <w:bottom w:val="nil"/>
              <w:right w:val="nil"/>
            </w:tcBorders>
            <w:shd w:val="clear" w:color="auto" w:fill="ED7D31"/>
            <w:noWrap/>
            <w:vAlign w:val="center"/>
          </w:tcPr>
          <w:p>
            <w:pPr>
              <w:rPr>
                <w:rFonts w:hint="eastAsia" w:ascii="宋体" w:hAnsi="宋体" w:eastAsia="宋体" w:cs="宋体"/>
                <w:i w:val="0"/>
                <w:iCs w:val="0"/>
                <w:color w:val="000000"/>
                <w:sz w:val="24"/>
                <w:szCs w:val="24"/>
                <w:u w:val="none"/>
              </w:rPr>
            </w:pPr>
          </w:p>
        </w:tc>
        <w:tc>
          <w:tcPr>
            <w:tcW w:w="4730" w:type="pct"/>
            <w:gridSpan w:val="6"/>
            <w:tcBorders>
              <w:top w:val="nil"/>
              <w:left w:val="nil"/>
              <w:bottom w:val="nil"/>
              <w:right w:val="nil"/>
            </w:tcBorders>
            <w:shd w:val="clear" w:color="auto" w:fill="ED7D31"/>
            <w:noWrap/>
            <w:vAlign w:val="center"/>
          </w:tcPr>
          <w:p>
            <w:pP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（1）1、2间歇性的按生产周期测，两个周期一个周期三个样，3、4、5废气连续监测2天，每天3次；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69" w:type="pct"/>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4"/>
                <w:szCs w:val="24"/>
                <w:u w:val="none"/>
              </w:rPr>
            </w:pPr>
          </w:p>
        </w:tc>
        <w:tc>
          <w:tcPr>
            <w:tcW w:w="4730" w:type="pct"/>
            <w:gridSpan w:val="6"/>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（2）废水连续监测2天，每天4次；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69" w:type="pct"/>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4"/>
                <w:szCs w:val="24"/>
                <w:u w:val="none"/>
              </w:rPr>
            </w:pPr>
          </w:p>
        </w:tc>
        <w:tc>
          <w:tcPr>
            <w:tcW w:w="4730" w:type="pct"/>
            <w:gridSpan w:val="6"/>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（3）噪声连续监测2天，昼夜各一次。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69" w:type="pct"/>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4"/>
                <w:szCs w:val="24"/>
                <w:u w:val="none"/>
              </w:rPr>
            </w:pPr>
          </w:p>
        </w:tc>
        <w:tc>
          <w:tcPr>
            <w:tcW w:w="4730" w:type="pct"/>
            <w:gridSpan w:val="6"/>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（4）环境空气连续监测2天。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69" w:type="pct"/>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4"/>
                <w:szCs w:val="24"/>
                <w:u w:val="none"/>
              </w:rPr>
            </w:pPr>
          </w:p>
        </w:tc>
        <w:tc>
          <w:tcPr>
            <w:tcW w:w="4730" w:type="pct"/>
            <w:gridSpan w:val="6"/>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（5）土壤监测1天，每天1次。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69" w:type="pct"/>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4"/>
                <w:szCs w:val="24"/>
                <w:u w:val="none"/>
              </w:rPr>
            </w:pPr>
          </w:p>
        </w:tc>
        <w:tc>
          <w:tcPr>
            <w:tcW w:w="4730" w:type="pct"/>
            <w:gridSpan w:val="6"/>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（6）地下水监测2天，每天2次。</w:t>
            </w:r>
          </w:p>
        </w:tc>
      </w:tr>
    </w:tbl>
    <w:tbl>
      <w:tblPr>
        <w:tblStyle w:val="3"/>
        <w:tblpPr w:leftFromText="180" w:rightFromText="180" w:vertAnchor="text" w:horzAnchor="page" w:tblpX="1305" w:tblpY="799"/>
        <w:tblOverlap w:val="never"/>
        <w:tblW w:w="4999"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54"/>
        <w:gridCol w:w="556"/>
        <w:gridCol w:w="3477"/>
        <w:gridCol w:w="39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49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项目名称</w:t>
            </w:r>
          </w:p>
        </w:tc>
        <w:tc>
          <w:tcPr>
            <w:tcW w:w="450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ascii="新宋体" w:hAnsi="新宋体" w:eastAsia="新宋体" w:cs="新宋体"/>
                <w:i w:val="0"/>
                <w:iCs w:val="0"/>
                <w:color w:val="000000"/>
                <w:sz w:val="24"/>
                <w:szCs w:val="24"/>
                <w:u w:val="none"/>
              </w:rPr>
            </w:pPr>
            <w:r>
              <w:rPr>
                <w:rFonts w:hint="eastAsia" w:ascii="新宋体" w:hAnsi="新宋体" w:eastAsia="新宋体" w:cs="新宋体"/>
                <w:i w:val="0"/>
                <w:iCs w:val="0"/>
                <w:color w:val="000000"/>
                <w:kern w:val="0"/>
                <w:sz w:val="24"/>
                <w:szCs w:val="24"/>
                <w:u w:val="none"/>
                <w:lang w:val="en-US" w:eastAsia="zh-CN" w:bidi="ar"/>
              </w:rPr>
              <w:t>危废焚烧残渣及飞灰熔融资源化处理项目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00" w:hRule="atLeast"/>
        </w:trPr>
        <w:tc>
          <w:tcPr>
            <w:tcW w:w="24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监测因子</w:t>
            </w:r>
          </w:p>
        </w:tc>
        <w:tc>
          <w:tcPr>
            <w:tcW w:w="2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有组织废气</w:t>
            </w:r>
          </w:p>
        </w:tc>
        <w:tc>
          <w:tcPr>
            <w:tcW w:w="21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Style w:val="5"/>
                <w:lang w:val="en-US" w:eastAsia="zh-CN" w:bidi="ar"/>
              </w:rPr>
              <w:t>①</w:t>
            </w:r>
            <w:r>
              <w:rPr>
                <w:rStyle w:val="9"/>
                <w:rFonts w:eastAsia="宋体"/>
                <w:lang w:val="en-US" w:eastAsia="zh-CN" w:bidi="ar"/>
              </w:rPr>
              <w:t xml:space="preserve"> </w:t>
            </w:r>
            <w:r>
              <w:rPr>
                <w:rStyle w:val="5"/>
                <w:lang w:val="en-US" w:eastAsia="zh-CN" w:bidi="ar"/>
              </w:rPr>
              <w:t>投料及烘干工序排气筒</w:t>
            </w:r>
            <w:r>
              <w:rPr>
                <w:rStyle w:val="9"/>
                <w:rFonts w:eastAsia="宋体"/>
                <w:lang w:val="en-US" w:eastAsia="zh-CN" w:bidi="ar"/>
              </w:rPr>
              <w:t>P1</w:t>
            </w:r>
            <w:r>
              <w:rPr>
                <w:rStyle w:val="5"/>
                <w:lang w:val="en-US" w:eastAsia="zh-CN" w:bidi="ar"/>
              </w:rPr>
              <w:t>（出口）：颗粒物、二氧化硫、氮氧化物、烟气黑度；废气量。</w:t>
            </w:r>
          </w:p>
        </w:tc>
        <w:tc>
          <w:tcPr>
            <w:tcW w:w="23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Style w:val="5"/>
                <w:lang w:val="en-US" w:eastAsia="zh-CN" w:bidi="ar"/>
              </w:rPr>
              <w:t>②</w:t>
            </w:r>
            <w:r>
              <w:rPr>
                <w:rStyle w:val="9"/>
                <w:rFonts w:eastAsia="宋体"/>
                <w:lang w:val="en-US" w:eastAsia="zh-CN" w:bidi="ar"/>
              </w:rPr>
              <w:t xml:space="preserve"> </w:t>
            </w:r>
            <w:r>
              <w:rPr>
                <w:rStyle w:val="5"/>
                <w:lang w:val="en-US" w:eastAsia="zh-CN" w:bidi="ar"/>
              </w:rPr>
              <w:t>熔融氯化工序排气筒</w:t>
            </w:r>
            <w:r>
              <w:rPr>
                <w:rStyle w:val="9"/>
                <w:rFonts w:eastAsia="宋体"/>
                <w:lang w:val="en-US" w:eastAsia="zh-CN" w:bidi="ar"/>
              </w:rPr>
              <w:t>P2</w:t>
            </w:r>
            <w:r>
              <w:rPr>
                <w:rStyle w:val="5"/>
                <w:lang w:val="en-US" w:eastAsia="zh-CN" w:bidi="ar"/>
              </w:rPr>
              <w:t>（出口）：颗粒物、氯化氢、氟化氢、汞及其化合物、砷及其化合物、铅及其化合物、镉及其化合物、镍及其化合物、铬及其化合物、铜、锰、二噁英类；废气量。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24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2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无组织废气</w:t>
            </w:r>
          </w:p>
        </w:tc>
        <w:tc>
          <w:tcPr>
            <w:tcW w:w="450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厂界上风向一个点，下风向三个点：颗粒物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24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2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废水</w:t>
            </w:r>
          </w:p>
        </w:tc>
        <w:tc>
          <w:tcPr>
            <w:tcW w:w="450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Style w:val="5"/>
                <w:lang w:val="en-US" w:eastAsia="zh-CN" w:bidi="ar"/>
              </w:rPr>
              <w:t>污水总排口（</w:t>
            </w:r>
            <w:r>
              <w:rPr>
                <w:rStyle w:val="9"/>
                <w:rFonts w:eastAsia="宋体"/>
                <w:lang w:val="en-US" w:eastAsia="zh-CN" w:bidi="ar"/>
              </w:rPr>
              <w:t>GB/T31962-2015</w:t>
            </w:r>
            <w:r>
              <w:rPr>
                <w:rStyle w:val="5"/>
                <w:lang w:val="en-US" w:eastAsia="zh-CN" w:bidi="ar"/>
              </w:rPr>
              <w:t>表</w:t>
            </w:r>
            <w:r>
              <w:rPr>
                <w:rStyle w:val="9"/>
                <w:rFonts w:eastAsia="宋体"/>
                <w:lang w:val="en-US" w:eastAsia="zh-CN" w:bidi="ar"/>
              </w:rPr>
              <w:t>1B</w:t>
            </w:r>
            <w:r>
              <w:rPr>
                <w:rStyle w:val="5"/>
                <w:lang w:val="en-US" w:eastAsia="zh-CN" w:bidi="ar"/>
              </w:rPr>
              <w:t>等级）：悬浮物、溶解性总固体、石油类、</w:t>
            </w:r>
            <w:r>
              <w:rPr>
                <w:rStyle w:val="9"/>
                <w:rFonts w:eastAsia="宋体"/>
                <w:lang w:val="en-US" w:eastAsia="zh-CN" w:bidi="ar"/>
              </w:rPr>
              <w:t>pH</w:t>
            </w:r>
            <w:r>
              <w:rPr>
                <w:rStyle w:val="5"/>
                <w:lang w:val="en-US" w:eastAsia="zh-CN" w:bidi="ar"/>
              </w:rPr>
              <w:t>值、化学需氧量、五日生化需氧量、氨氮、总氮、总磷、阴离子表面活性剂、总余氯，同时记录流量、水温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24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2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噪声</w:t>
            </w:r>
          </w:p>
        </w:tc>
        <w:tc>
          <w:tcPr>
            <w:tcW w:w="450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Style w:val="5"/>
                <w:lang w:val="en-US" w:eastAsia="zh-CN" w:bidi="ar"/>
              </w:rPr>
              <w:t>厂界昼、夜间噪声（</w:t>
            </w:r>
            <w:r>
              <w:rPr>
                <w:rStyle w:val="9"/>
                <w:rFonts w:eastAsia="宋体"/>
                <w:lang w:val="en-US" w:eastAsia="zh-CN" w:bidi="ar"/>
              </w:rPr>
              <w:t>3</w:t>
            </w:r>
            <w:r>
              <w:rPr>
                <w:rStyle w:val="5"/>
                <w:lang w:val="en-US" w:eastAsia="zh-CN" w:bidi="ar"/>
              </w:rPr>
              <w:t>类标准）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5000" w:type="pct"/>
            <w:gridSpan w:val="4"/>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检测频次要求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5000" w:type="pct"/>
            <w:gridSpan w:val="4"/>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按照《建设项目竣工环境保护验收技术指南 污染影响类》执行：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5000" w:type="pct"/>
            <w:gridSpan w:val="4"/>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（1）废气连续监测2天，每天3次；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5000" w:type="pct"/>
            <w:gridSpan w:val="4"/>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（2）废水连续监测2天，每天4次；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5000" w:type="pct"/>
            <w:gridSpan w:val="4"/>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（3）噪声连续监测2天，昼夜各一次。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5000" w:type="pct"/>
            <w:gridSpan w:val="4"/>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p>
          <w:tbl>
            <w:tblPr>
              <w:tblStyle w:val="3"/>
              <w:tblW w:w="4998"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56"/>
              <w:gridCol w:w="456"/>
              <w:gridCol w:w="3218"/>
              <w:gridCol w:w="417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trPr>
              <w:tc>
                <w:tcPr>
                  <w:tcW w:w="54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项目名称</w:t>
                  </w:r>
                </w:p>
              </w:tc>
              <w:tc>
                <w:tcPr>
                  <w:tcW w:w="445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ascii="新宋体" w:hAnsi="新宋体" w:eastAsia="新宋体" w:cs="新宋体"/>
                      <w:i w:val="0"/>
                      <w:iCs w:val="0"/>
                      <w:color w:val="000000"/>
                      <w:sz w:val="24"/>
                      <w:szCs w:val="24"/>
                      <w:u w:val="none"/>
                    </w:rPr>
                  </w:pPr>
                  <w:r>
                    <w:rPr>
                      <w:rFonts w:hint="eastAsia" w:ascii="新宋体" w:hAnsi="新宋体" w:eastAsia="新宋体" w:cs="新宋体"/>
                      <w:i w:val="0"/>
                      <w:iCs w:val="0"/>
                      <w:color w:val="000000"/>
                      <w:kern w:val="0"/>
                      <w:sz w:val="24"/>
                      <w:szCs w:val="24"/>
                      <w:u w:val="none"/>
                      <w:lang w:val="en-US" w:eastAsia="zh-CN" w:bidi="ar"/>
                    </w:rPr>
                    <w:t>烟台市固体废物焚烧处置中心扩建项目二期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1960" w:hRule="atLeast"/>
              </w:trPr>
              <w:tc>
                <w:tcPr>
                  <w:tcW w:w="27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监测因子</w:t>
                  </w:r>
                </w:p>
              </w:tc>
              <w:tc>
                <w:tcPr>
                  <w:tcW w:w="2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有组织废气</w:t>
                  </w:r>
                </w:p>
              </w:tc>
              <w:tc>
                <w:tcPr>
                  <w:tcW w:w="19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新宋体" w:hAnsi="新宋体" w:eastAsia="新宋体" w:cs="新宋体"/>
                      <w:i w:val="0"/>
                      <w:iCs w:val="0"/>
                      <w:color w:val="000000"/>
                      <w:kern w:val="0"/>
                      <w:sz w:val="24"/>
                      <w:szCs w:val="24"/>
                      <w:u w:val="none"/>
                      <w:lang w:val="en-US" w:eastAsia="zh-CN" w:bidi="ar"/>
                    </w:rPr>
                  </w:pPr>
                  <w:r>
                    <w:rPr>
                      <w:rFonts w:hint="eastAsia" w:ascii="新宋体" w:hAnsi="新宋体" w:eastAsia="新宋体" w:cs="新宋体"/>
                      <w:i w:val="0"/>
                      <w:iCs w:val="0"/>
                      <w:color w:val="000000"/>
                      <w:kern w:val="0"/>
                      <w:sz w:val="24"/>
                      <w:szCs w:val="24"/>
                      <w:u w:val="none"/>
                      <w:lang w:val="en-US" w:eastAsia="zh-CN" w:bidi="ar"/>
                    </w:rPr>
                    <w:t>①焚烧排气筒50mP1（出口）：颗粒物、二氧化硫、氮氧化物；一氧化碳、氯化氢、氟化氢、汞、砷、铅、镉及其化合物、镍及其化合物、铬、锡、锑、铜、锰、二噁英类；废气量。</w:t>
                  </w:r>
                </w:p>
              </w:tc>
              <w:tc>
                <w:tcPr>
                  <w:tcW w:w="25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新宋体" w:hAnsi="新宋体" w:eastAsia="新宋体" w:cs="新宋体"/>
                      <w:i w:val="0"/>
                      <w:iCs w:val="0"/>
                      <w:color w:val="000000"/>
                      <w:kern w:val="0"/>
                      <w:sz w:val="24"/>
                      <w:szCs w:val="24"/>
                      <w:u w:val="none"/>
                      <w:lang w:val="en-US" w:eastAsia="zh-CN" w:bidi="ar"/>
                    </w:rPr>
                  </w:pPr>
                  <w:r>
                    <w:rPr>
                      <w:rFonts w:hint="eastAsia" w:ascii="新宋体" w:hAnsi="新宋体" w:eastAsia="新宋体" w:cs="新宋体"/>
                      <w:i w:val="0"/>
                      <w:iCs w:val="0"/>
                      <w:color w:val="000000"/>
                      <w:kern w:val="0"/>
                      <w:sz w:val="24"/>
                      <w:szCs w:val="24"/>
                      <w:u w:val="none"/>
                      <w:lang w:val="en-US" w:eastAsia="zh-CN" w:bidi="ar"/>
                    </w:rPr>
                    <w:t>②危废暂存库P2（出口）：VOCs（以非甲烷总烃计）、苯、甲苯、二甲苯、氯化氢、氨、硫化氢、氟化氢；废气量。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60" w:hRule="atLeast"/>
              </w:trPr>
              <w:tc>
                <w:tcPr>
                  <w:tcW w:w="27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4"/>
                      <w:szCs w:val="24"/>
                      <w:u w:val="none"/>
                    </w:rPr>
                  </w:pPr>
                </w:p>
              </w:tc>
              <w:tc>
                <w:tcPr>
                  <w:tcW w:w="2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无组织废气</w:t>
                  </w:r>
                </w:p>
              </w:tc>
              <w:tc>
                <w:tcPr>
                  <w:tcW w:w="19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新宋体" w:hAnsi="新宋体" w:eastAsia="新宋体" w:cs="新宋体"/>
                      <w:i w:val="0"/>
                      <w:iCs w:val="0"/>
                      <w:color w:val="000000"/>
                      <w:kern w:val="0"/>
                      <w:sz w:val="24"/>
                      <w:szCs w:val="24"/>
                      <w:u w:val="none"/>
                      <w:lang w:val="en-US" w:eastAsia="zh-CN" w:bidi="ar"/>
                    </w:rPr>
                  </w:pPr>
                  <w:r>
                    <w:rPr>
                      <w:rFonts w:hint="eastAsia" w:ascii="新宋体" w:hAnsi="新宋体" w:eastAsia="新宋体" w:cs="新宋体"/>
                      <w:i w:val="0"/>
                      <w:iCs w:val="0"/>
                      <w:color w:val="000000"/>
                      <w:kern w:val="0"/>
                      <w:sz w:val="24"/>
                      <w:szCs w:val="24"/>
                      <w:u w:val="none"/>
                      <w:lang w:val="en-US" w:eastAsia="zh-CN" w:bidi="ar"/>
                    </w:rPr>
                    <w:t>1、厂界上风向一个点，下风向三个点：颗粒物、氨、硫化氢、臭气浓度、VOCs（以非甲烷总烃计）、硫化氢、氟化物</w:t>
                  </w:r>
                </w:p>
              </w:tc>
              <w:tc>
                <w:tcPr>
                  <w:tcW w:w="25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新宋体" w:hAnsi="新宋体" w:eastAsia="新宋体" w:cs="新宋体"/>
                      <w:i w:val="0"/>
                      <w:iCs w:val="0"/>
                      <w:color w:val="000000"/>
                      <w:kern w:val="0"/>
                      <w:sz w:val="24"/>
                      <w:szCs w:val="24"/>
                      <w:u w:val="none"/>
                      <w:lang w:val="en-US" w:eastAsia="zh-CN" w:bidi="ar"/>
                    </w:rPr>
                  </w:pPr>
                  <w:r>
                    <w:rPr>
                      <w:rFonts w:hint="eastAsia" w:ascii="新宋体" w:hAnsi="新宋体" w:eastAsia="新宋体" w:cs="新宋体"/>
                      <w:i w:val="0"/>
                      <w:iCs w:val="0"/>
                      <w:color w:val="000000"/>
                      <w:kern w:val="0"/>
                      <w:sz w:val="24"/>
                      <w:szCs w:val="24"/>
                      <w:u w:val="none"/>
                      <w:lang w:val="en-US" w:eastAsia="zh-CN" w:bidi="ar"/>
                    </w:rPr>
                    <w:t>2、厂内1个点：危废间门口VOCs（以非甲烷总烃计）。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00" w:hRule="atLeast"/>
              </w:trPr>
              <w:tc>
                <w:tcPr>
                  <w:tcW w:w="27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4"/>
                      <w:szCs w:val="24"/>
                      <w:u w:val="none"/>
                    </w:rPr>
                  </w:pPr>
                </w:p>
              </w:tc>
              <w:tc>
                <w:tcPr>
                  <w:tcW w:w="2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废水</w:t>
                  </w:r>
                </w:p>
              </w:tc>
              <w:tc>
                <w:tcPr>
                  <w:tcW w:w="445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新宋体" w:hAnsi="新宋体" w:eastAsia="新宋体" w:cs="新宋体"/>
                      <w:i w:val="0"/>
                      <w:iCs w:val="0"/>
                      <w:color w:val="000000"/>
                      <w:kern w:val="0"/>
                      <w:sz w:val="24"/>
                      <w:szCs w:val="24"/>
                      <w:u w:val="none"/>
                      <w:lang w:val="en-US" w:eastAsia="zh-CN" w:bidi="ar"/>
                    </w:rPr>
                  </w:pPr>
                  <w:r>
                    <w:rPr>
                      <w:rFonts w:hint="eastAsia" w:ascii="新宋体" w:hAnsi="新宋体" w:eastAsia="新宋体" w:cs="新宋体"/>
                      <w:i w:val="0"/>
                      <w:iCs w:val="0"/>
                      <w:color w:val="000000"/>
                      <w:kern w:val="0"/>
                      <w:sz w:val="24"/>
                      <w:szCs w:val="24"/>
                      <w:u w:val="none"/>
                      <w:lang w:val="en-US" w:eastAsia="zh-CN" w:bidi="ar"/>
                    </w:rPr>
                    <w:t>污水处理站出水口：执行《城市污水再生利用 工业用水水质》（GB/T19923-2005）中洗涤用水水质要求：pH值、悬浮物、浊度、色度、生化需氧量、化学需氧量、铁、锰、氯离子、二氧化硅、总硬度、总碱度、硫酸盐、氨氮、总磷、溶解性总固体、石油类、阴离子表面活性剂、余氯、粪大肠菌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0" w:hRule="atLeast"/>
              </w:trPr>
              <w:tc>
                <w:tcPr>
                  <w:tcW w:w="27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4"/>
                      <w:szCs w:val="24"/>
                      <w:u w:val="none"/>
                    </w:rPr>
                  </w:pPr>
                </w:p>
              </w:tc>
              <w:tc>
                <w:tcPr>
                  <w:tcW w:w="2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噪声</w:t>
                  </w:r>
                </w:p>
              </w:tc>
              <w:tc>
                <w:tcPr>
                  <w:tcW w:w="445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新宋体" w:hAnsi="新宋体" w:eastAsia="新宋体" w:cs="新宋体"/>
                      <w:i w:val="0"/>
                      <w:iCs w:val="0"/>
                      <w:color w:val="000000"/>
                      <w:kern w:val="0"/>
                      <w:sz w:val="24"/>
                      <w:szCs w:val="24"/>
                      <w:u w:val="none"/>
                      <w:lang w:val="en-US" w:eastAsia="zh-CN" w:bidi="ar"/>
                    </w:rPr>
                  </w:pPr>
                  <w:r>
                    <w:rPr>
                      <w:rFonts w:hint="eastAsia" w:ascii="新宋体" w:hAnsi="新宋体" w:eastAsia="新宋体" w:cs="新宋体"/>
                      <w:i w:val="0"/>
                      <w:iCs w:val="0"/>
                      <w:color w:val="000000"/>
                      <w:kern w:val="0"/>
                      <w:sz w:val="24"/>
                      <w:szCs w:val="24"/>
                      <w:u w:val="none"/>
                      <w:lang w:val="en-US" w:eastAsia="zh-CN" w:bidi="ar"/>
                    </w:rPr>
                    <w:t>厂界昼、夜间噪声（3类标准）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0" w:hRule="atLeast"/>
              </w:trPr>
              <w:tc>
                <w:tcPr>
                  <w:tcW w:w="27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4"/>
                      <w:szCs w:val="24"/>
                      <w:u w:val="none"/>
                    </w:rPr>
                  </w:pPr>
                </w:p>
              </w:tc>
              <w:tc>
                <w:tcPr>
                  <w:tcW w:w="2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环境空气</w:t>
                  </w:r>
                </w:p>
              </w:tc>
              <w:tc>
                <w:tcPr>
                  <w:tcW w:w="445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新宋体" w:hAnsi="新宋体" w:eastAsia="新宋体" w:cs="新宋体"/>
                      <w:i w:val="0"/>
                      <w:iCs w:val="0"/>
                      <w:color w:val="000000"/>
                      <w:kern w:val="0"/>
                      <w:sz w:val="24"/>
                      <w:szCs w:val="24"/>
                      <w:u w:val="none"/>
                      <w:lang w:val="en-US" w:eastAsia="zh-CN" w:bidi="ar"/>
                    </w:rPr>
                  </w:pPr>
                  <w:r>
                    <w:rPr>
                      <w:rFonts w:hint="eastAsia" w:ascii="新宋体" w:hAnsi="新宋体" w:eastAsia="新宋体" w:cs="新宋体"/>
                      <w:i w:val="0"/>
                      <w:iCs w:val="0"/>
                      <w:color w:val="000000"/>
                      <w:kern w:val="0"/>
                      <w:sz w:val="24"/>
                      <w:szCs w:val="24"/>
                      <w:u w:val="none"/>
                      <w:lang w:val="en-US" w:eastAsia="zh-CN" w:bidi="ar"/>
                    </w:rPr>
                    <w:t>1个点位，厂界下风向：HCl（小时值、日均值）、二噁英类（日均值）、氨、硫化氢、臭气浓度非甲烷总烃；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620" w:hRule="atLeast"/>
              </w:trPr>
              <w:tc>
                <w:tcPr>
                  <w:tcW w:w="27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4"/>
                      <w:szCs w:val="24"/>
                      <w:u w:val="none"/>
                    </w:rPr>
                  </w:pPr>
                </w:p>
              </w:tc>
              <w:tc>
                <w:tcPr>
                  <w:tcW w:w="2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土壤</w:t>
                  </w:r>
                </w:p>
              </w:tc>
              <w:tc>
                <w:tcPr>
                  <w:tcW w:w="445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新宋体" w:hAnsi="新宋体" w:eastAsia="新宋体" w:cs="新宋体"/>
                      <w:i w:val="0"/>
                      <w:iCs w:val="0"/>
                      <w:color w:val="000000"/>
                      <w:kern w:val="0"/>
                      <w:sz w:val="24"/>
                      <w:szCs w:val="24"/>
                      <w:u w:val="none"/>
                      <w:lang w:val="en-US" w:eastAsia="zh-CN" w:bidi="ar"/>
                    </w:rPr>
                  </w:pPr>
                  <w:r>
                    <w:rPr>
                      <w:rFonts w:hint="eastAsia" w:ascii="新宋体" w:hAnsi="新宋体" w:eastAsia="新宋体" w:cs="新宋体"/>
                      <w:i w:val="0"/>
                      <w:iCs w:val="0"/>
                      <w:color w:val="000000"/>
                      <w:kern w:val="0"/>
                      <w:sz w:val="24"/>
                      <w:szCs w:val="24"/>
                      <w:u w:val="none"/>
                      <w:lang w:val="en-US" w:eastAsia="zh-CN" w:bidi="ar"/>
                    </w:rPr>
                    <w:t>3个柱状点：GB36600表1中45项+二噁英、氟化物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0" w:hRule="atLeast"/>
              </w:trPr>
              <w:tc>
                <w:tcPr>
                  <w:tcW w:w="27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4"/>
                      <w:szCs w:val="24"/>
                      <w:u w:val="none"/>
                    </w:rPr>
                  </w:pPr>
                </w:p>
              </w:tc>
              <w:tc>
                <w:tcPr>
                  <w:tcW w:w="2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地下水</w:t>
                  </w:r>
                </w:p>
              </w:tc>
              <w:tc>
                <w:tcPr>
                  <w:tcW w:w="445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新宋体" w:hAnsi="新宋体" w:eastAsia="新宋体" w:cs="新宋体"/>
                      <w:i w:val="0"/>
                      <w:iCs w:val="0"/>
                      <w:color w:val="000000"/>
                      <w:kern w:val="0"/>
                      <w:sz w:val="24"/>
                      <w:szCs w:val="24"/>
                      <w:u w:val="none"/>
                      <w:lang w:val="en-US" w:eastAsia="zh-CN" w:bidi="ar"/>
                    </w:rPr>
                  </w:pPr>
                  <w:r>
                    <w:rPr>
                      <w:rFonts w:hint="eastAsia" w:ascii="新宋体" w:hAnsi="新宋体" w:eastAsia="新宋体" w:cs="新宋体"/>
                      <w:i w:val="0"/>
                      <w:iCs w:val="0"/>
                      <w:color w:val="000000"/>
                      <w:kern w:val="0"/>
                      <w:sz w:val="24"/>
                      <w:szCs w:val="24"/>
                      <w:u w:val="none"/>
                      <w:lang w:val="en-US" w:eastAsia="zh-CN" w:bidi="ar"/>
                    </w:rPr>
                    <w:t>厂内3个监控井：pH、总硬度（以CaCO3计）、溶解性总固体、高锰酸盐指数、硝酸盐（以N计）、亚硝酸盐（以N计）、氨氮、氟化物、氯化物、硫酸盐、挥发性酚类、汞、砷、铬、镉、铅、镍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4" w:type="pct"/>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4"/>
                      <w:szCs w:val="24"/>
                      <w:u w:val="none"/>
                    </w:rPr>
                  </w:pPr>
                </w:p>
              </w:tc>
              <w:tc>
                <w:tcPr>
                  <w:tcW w:w="274" w:type="pct"/>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4"/>
                      <w:szCs w:val="24"/>
                      <w:u w:val="none"/>
                    </w:rPr>
                  </w:pPr>
                </w:p>
              </w:tc>
              <w:tc>
                <w:tcPr>
                  <w:tcW w:w="1938" w:type="pct"/>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4"/>
                      <w:szCs w:val="24"/>
                      <w:u w:val="none"/>
                    </w:rPr>
                  </w:pPr>
                </w:p>
              </w:tc>
              <w:tc>
                <w:tcPr>
                  <w:tcW w:w="2512" w:type="pct"/>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5000" w:type="pct"/>
                  <w:gridSpan w:val="4"/>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检测频次要求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5000" w:type="pct"/>
                  <w:gridSpan w:val="4"/>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按照《建设项目竣工环境保护验收技术指南 污染影响类》执行：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5000" w:type="pct"/>
                  <w:gridSpan w:val="4"/>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（1）废气连续监测2天，每天3次；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5" w:hRule="atLeast"/>
              </w:trPr>
              <w:tc>
                <w:tcPr>
                  <w:tcW w:w="5000" w:type="pct"/>
                  <w:gridSpan w:val="4"/>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（2）废水连续监测2天，每天4次；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5" w:hRule="atLeast"/>
              </w:trPr>
              <w:tc>
                <w:tcPr>
                  <w:tcW w:w="5000" w:type="pct"/>
                  <w:gridSpan w:val="4"/>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（3）噪声连续监测2天，昼夜各一次。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5" w:hRule="atLeast"/>
              </w:trPr>
              <w:tc>
                <w:tcPr>
                  <w:tcW w:w="5000" w:type="pct"/>
                  <w:gridSpan w:val="4"/>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（4）环境空气连续监测2天。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5000" w:type="pct"/>
                  <w:gridSpan w:val="4"/>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（5）土壤监测1天，每天1次。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5" w:hRule="atLeast"/>
              </w:trPr>
              <w:tc>
                <w:tcPr>
                  <w:tcW w:w="5000" w:type="pct"/>
                  <w:gridSpan w:val="4"/>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（6）地下水监测2天，每天2次。</w:t>
                  </w:r>
                </w:p>
              </w:tc>
            </w:tr>
          </w:tbl>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新宋体">
    <w:panose1 w:val="02010609030101010101"/>
    <w:charset w:val="86"/>
    <w:family w:val="auto"/>
    <w:pitch w:val="default"/>
    <w:sig w:usb0="0000028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YyZGI4N2NhNWVjZmVmOTU0MjUwMmY3NDRlMjEzMTUifQ=="/>
  </w:docVars>
  <w:rsids>
    <w:rsidRoot w:val="7B1E44F1"/>
    <w:rsid w:val="008B1170"/>
    <w:rsid w:val="01113D6B"/>
    <w:rsid w:val="029D37D0"/>
    <w:rsid w:val="03E272F9"/>
    <w:rsid w:val="07456322"/>
    <w:rsid w:val="089D65C1"/>
    <w:rsid w:val="0AA74DF8"/>
    <w:rsid w:val="0B8E5FB8"/>
    <w:rsid w:val="0C1D2F19"/>
    <w:rsid w:val="0DB832B0"/>
    <w:rsid w:val="0F7A6F7F"/>
    <w:rsid w:val="12C10A21"/>
    <w:rsid w:val="14C60571"/>
    <w:rsid w:val="1517701E"/>
    <w:rsid w:val="15512530"/>
    <w:rsid w:val="156264EB"/>
    <w:rsid w:val="16175D54"/>
    <w:rsid w:val="17141A67"/>
    <w:rsid w:val="19263CD4"/>
    <w:rsid w:val="1AB33345"/>
    <w:rsid w:val="1D4209B0"/>
    <w:rsid w:val="1D660B43"/>
    <w:rsid w:val="1F721A21"/>
    <w:rsid w:val="24855D52"/>
    <w:rsid w:val="25EC4893"/>
    <w:rsid w:val="26F61189"/>
    <w:rsid w:val="2A063491"/>
    <w:rsid w:val="2A1A155C"/>
    <w:rsid w:val="2B42499D"/>
    <w:rsid w:val="2FE222AB"/>
    <w:rsid w:val="30444D13"/>
    <w:rsid w:val="327A3807"/>
    <w:rsid w:val="363B2715"/>
    <w:rsid w:val="37105BFE"/>
    <w:rsid w:val="37A61E10"/>
    <w:rsid w:val="383733B0"/>
    <w:rsid w:val="38CC0AB7"/>
    <w:rsid w:val="3D4D7C00"/>
    <w:rsid w:val="3DC10A9E"/>
    <w:rsid w:val="409149EA"/>
    <w:rsid w:val="43B9245C"/>
    <w:rsid w:val="455A06DD"/>
    <w:rsid w:val="46AF3AC3"/>
    <w:rsid w:val="48221F3A"/>
    <w:rsid w:val="490746A0"/>
    <w:rsid w:val="49CA69AF"/>
    <w:rsid w:val="4A2F2139"/>
    <w:rsid w:val="4BED22AB"/>
    <w:rsid w:val="4E395334"/>
    <w:rsid w:val="4E5C64FB"/>
    <w:rsid w:val="4ED432AF"/>
    <w:rsid w:val="4FC7696F"/>
    <w:rsid w:val="51085E41"/>
    <w:rsid w:val="519E2BC7"/>
    <w:rsid w:val="525C4282"/>
    <w:rsid w:val="54480B4C"/>
    <w:rsid w:val="556E620B"/>
    <w:rsid w:val="587F428B"/>
    <w:rsid w:val="59232E69"/>
    <w:rsid w:val="5B8A5421"/>
    <w:rsid w:val="5C425CFC"/>
    <w:rsid w:val="5D303DA6"/>
    <w:rsid w:val="5EAF519E"/>
    <w:rsid w:val="5F6629C4"/>
    <w:rsid w:val="630E6937"/>
    <w:rsid w:val="64E262CE"/>
    <w:rsid w:val="65BD2897"/>
    <w:rsid w:val="6905258B"/>
    <w:rsid w:val="6BAD2A66"/>
    <w:rsid w:val="6CA34594"/>
    <w:rsid w:val="6EF410D7"/>
    <w:rsid w:val="6F467F6C"/>
    <w:rsid w:val="6FD07E30"/>
    <w:rsid w:val="70645DE9"/>
    <w:rsid w:val="718B3849"/>
    <w:rsid w:val="71FD64F5"/>
    <w:rsid w:val="72D33A90"/>
    <w:rsid w:val="74A013B9"/>
    <w:rsid w:val="76D90BB3"/>
    <w:rsid w:val="77F263D0"/>
    <w:rsid w:val="78B83176"/>
    <w:rsid w:val="7A1E34AC"/>
    <w:rsid w:val="7B1E44F1"/>
    <w:rsid w:val="7BAE0860"/>
    <w:rsid w:val="7D8858C2"/>
    <w:rsid w:val="7EDC39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line="360" w:lineRule="auto"/>
      <w:ind w:left="0" w:right="0"/>
      <w:jc w:val="left"/>
    </w:pPr>
    <w:rPr>
      <w:kern w:val="0"/>
      <w:sz w:val="18"/>
      <w:szCs w:val="18"/>
      <w:lang w:val="en-US" w:eastAsia="zh-CN" w:bidi="ar"/>
    </w:rPr>
  </w:style>
  <w:style w:type="character" w:customStyle="1" w:styleId="5">
    <w:name w:val="font01"/>
    <w:basedOn w:val="4"/>
    <w:qFormat/>
    <w:uiPriority w:val="0"/>
    <w:rPr>
      <w:rFonts w:hint="eastAsia" w:ascii="宋体" w:hAnsi="宋体" w:eastAsia="宋体" w:cs="宋体"/>
      <w:color w:val="000000"/>
      <w:sz w:val="24"/>
      <w:szCs w:val="24"/>
      <w:u w:val="none"/>
    </w:rPr>
  </w:style>
  <w:style w:type="character" w:customStyle="1" w:styleId="6">
    <w:name w:val="font51"/>
    <w:basedOn w:val="4"/>
    <w:qFormat/>
    <w:uiPriority w:val="0"/>
    <w:rPr>
      <w:rFonts w:hint="default" w:ascii="Times New Roman" w:hAnsi="Times New Roman" w:cs="Times New Roman"/>
      <w:color w:val="000000"/>
      <w:sz w:val="24"/>
      <w:szCs w:val="24"/>
      <w:u w:val="none"/>
    </w:rPr>
  </w:style>
  <w:style w:type="character" w:customStyle="1" w:styleId="7">
    <w:name w:val="font21"/>
    <w:basedOn w:val="4"/>
    <w:qFormat/>
    <w:uiPriority w:val="0"/>
    <w:rPr>
      <w:rFonts w:hint="eastAsia" w:ascii="宋体" w:hAnsi="宋体" w:eastAsia="宋体" w:cs="宋体"/>
      <w:color w:val="000000"/>
      <w:sz w:val="24"/>
      <w:szCs w:val="24"/>
      <w:u w:val="none"/>
      <w:vertAlign w:val="subscript"/>
    </w:rPr>
  </w:style>
  <w:style w:type="character" w:customStyle="1" w:styleId="8">
    <w:name w:val="font11"/>
    <w:basedOn w:val="4"/>
    <w:qFormat/>
    <w:uiPriority w:val="0"/>
    <w:rPr>
      <w:rFonts w:hint="eastAsia" w:ascii="宋体" w:hAnsi="宋体" w:eastAsia="宋体" w:cs="宋体"/>
      <w:color w:val="000000"/>
      <w:sz w:val="24"/>
      <w:szCs w:val="24"/>
      <w:u w:val="none"/>
    </w:rPr>
  </w:style>
  <w:style w:type="character" w:customStyle="1" w:styleId="9">
    <w:name w:val="font31"/>
    <w:basedOn w:val="4"/>
    <w:qFormat/>
    <w:uiPriority w:val="0"/>
    <w:rPr>
      <w:rFonts w:hint="default" w:ascii="Times New Roman" w:hAnsi="Times New Roman" w:cs="Times New Roman"/>
      <w:color w:val="000000"/>
      <w:sz w:val="24"/>
      <w:szCs w:val="24"/>
      <w:u w:val="none"/>
    </w:rPr>
  </w:style>
  <w:style w:type="character" w:customStyle="1" w:styleId="10">
    <w:name w:val="font61"/>
    <w:basedOn w:val="4"/>
    <w:qFormat/>
    <w:uiPriority w:val="0"/>
    <w:rPr>
      <w:rFonts w:hint="default" w:ascii="Times New Roman" w:hAnsi="Times New Roman" w:cs="Times New Roman"/>
      <w:color w:val="000000"/>
      <w:sz w:val="24"/>
      <w:szCs w:val="24"/>
      <w:u w:val="none"/>
      <w:vertAlign w:val="subscript"/>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10</Pages>
  <Words>4528</Words>
  <Characters>4815</Characters>
  <Lines>0</Lines>
  <Paragraphs>0</Paragraphs>
  <TotalTime>9</TotalTime>
  <ScaleCrop>false</ScaleCrop>
  <LinksUpToDate>false</LinksUpToDate>
  <CharactersWithSpaces>4939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2023-06-06T03:37:00Z</dcterms:created>
  <dc:creator>未定义</dc:creator>
  <cp:lastModifiedBy>未定义</cp:lastModifiedBy>
  <dcterms:modified xsi:type="dcterms:W3CDTF">2023-06-06T04:48:27Z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F1FA86A1B0D64FF88720E444F2A51114_11</vt:lpwstr>
  </property>
</Properties>
</file>