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2891" w:firstLineChars="800"/>
        <w:jc w:val="left"/>
        <w:rPr>
          <w:rFonts w:hint="default" w:ascii="宋体" w:hAnsi="宋体" w:eastAsia="宋体" w:cs="宋体"/>
          <w:b/>
          <w:bCs/>
          <w:color w:val="000000"/>
          <w:kern w:val="0"/>
          <w:sz w:val="36"/>
          <w:szCs w:val="36"/>
          <w:lang w:val="en-US" w:eastAsia="zh-CN"/>
        </w:rPr>
      </w:pPr>
      <w:r>
        <w:rPr>
          <w:rFonts w:hint="eastAsia" w:ascii="宋体" w:hAnsi="宋体" w:eastAsia="宋体" w:cs="宋体"/>
          <w:b/>
          <w:bCs/>
          <w:color w:val="000000"/>
          <w:kern w:val="0"/>
          <w:sz w:val="36"/>
          <w:szCs w:val="36"/>
          <w:lang w:val="en-US" w:eastAsia="zh-CN"/>
        </w:rPr>
        <w:t>化验室仪器采购项目</w:t>
      </w:r>
    </w:p>
    <w:p>
      <w:pPr>
        <w:widowControl/>
        <w:shd w:val="clear" w:color="auto" w:fill="FFFFFF"/>
        <w:spacing w:before="156" w:line="228" w:lineRule="atLeast"/>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一、投标邀请</w:t>
      </w:r>
    </w:p>
    <w:p>
      <w:pPr>
        <w:widowControl/>
        <w:shd w:val="clear" w:color="auto" w:fill="FFFFFF"/>
        <w:spacing w:before="156" w:line="360" w:lineRule="auto"/>
        <w:ind w:firstLine="480" w:firstLineChars="200"/>
        <w:rPr>
          <w:rFonts w:ascii="宋体" w:hAnsi="宋体" w:cs="Arial"/>
          <w:sz w:val="24"/>
          <w:szCs w:val="24"/>
        </w:rPr>
      </w:pPr>
      <w:r>
        <w:rPr>
          <w:rFonts w:hint="eastAsia" w:ascii="宋体" w:hAnsi="宋体" w:cs="Arial"/>
          <w:sz w:val="24"/>
          <w:szCs w:val="24"/>
        </w:rPr>
        <w:t>鑫广绿环再生资源股份有限公司现对</w:t>
      </w:r>
      <w:r>
        <w:rPr>
          <w:rFonts w:hint="eastAsia" w:ascii="微软雅黑" w:hAnsi="微软雅黑" w:eastAsia="微软雅黑" w:cs="微软雅黑"/>
          <w:b w:val="0"/>
          <w:bCs w:val="0"/>
          <w:i w:val="0"/>
          <w:iCs w:val="0"/>
          <w:caps w:val="0"/>
          <w:color w:val="000000"/>
          <w:spacing w:val="0"/>
          <w:sz w:val="24"/>
          <w:szCs w:val="24"/>
        </w:rPr>
        <w:t>鑫广绿环</w:t>
      </w:r>
      <w:r>
        <w:rPr>
          <w:rFonts w:hint="eastAsia" w:ascii="微软雅黑" w:hAnsi="微软雅黑" w:eastAsia="微软雅黑" w:cs="微软雅黑"/>
          <w:b w:val="0"/>
          <w:bCs w:val="0"/>
          <w:i w:val="0"/>
          <w:iCs w:val="0"/>
          <w:caps w:val="0"/>
          <w:color w:val="000000"/>
          <w:spacing w:val="0"/>
          <w:sz w:val="24"/>
          <w:szCs w:val="24"/>
          <w:lang w:val="en-US" w:eastAsia="zh-CN"/>
        </w:rPr>
        <w:t>化验室仪器</w:t>
      </w:r>
      <w:r>
        <w:rPr>
          <w:rFonts w:hint="eastAsia" w:ascii="宋体" w:hAnsi="宋体" w:cs="Arial"/>
          <w:sz w:val="24"/>
          <w:szCs w:val="24"/>
        </w:rPr>
        <w:t>采购项目进行招标，特邀请贵公司参加投标。</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jc w:val="left"/>
        <w:rPr>
          <w:rFonts w:hint="eastAsia" w:ascii="微软雅黑" w:hAnsi="微软雅黑" w:eastAsia="微软雅黑" w:cs="微软雅黑"/>
          <w:b w:val="0"/>
          <w:bCs w:val="0"/>
          <w:i w:val="0"/>
          <w:iCs w:val="0"/>
          <w:caps w:val="0"/>
          <w:color w:val="000000"/>
          <w:spacing w:val="0"/>
          <w:sz w:val="24"/>
          <w:szCs w:val="24"/>
        </w:rPr>
      </w:pPr>
      <w:r>
        <w:rPr>
          <w:rFonts w:hint="eastAsia" w:ascii="宋体" w:hAnsi="宋体" w:eastAsia="宋体" w:cs="宋体"/>
          <w:color w:val="000000"/>
          <w:kern w:val="0"/>
          <w:sz w:val="24"/>
          <w:szCs w:val="24"/>
        </w:rPr>
        <w:t xml:space="preserve">1.1 </w:t>
      </w:r>
      <w:r>
        <w:rPr>
          <w:rFonts w:hint="eastAsia" w:ascii="宋体" w:hAnsi="宋体" w:cs="Arial"/>
          <w:sz w:val="24"/>
          <w:szCs w:val="24"/>
        </w:rPr>
        <w:t>项目内容：</w:t>
      </w:r>
      <w:r>
        <w:rPr>
          <w:rFonts w:hint="eastAsia" w:ascii="微软雅黑" w:hAnsi="微软雅黑" w:eastAsia="微软雅黑" w:cs="微软雅黑"/>
          <w:b w:val="0"/>
          <w:bCs w:val="0"/>
          <w:i w:val="0"/>
          <w:iCs w:val="0"/>
          <w:caps w:val="0"/>
          <w:color w:val="000000"/>
          <w:spacing w:val="0"/>
          <w:sz w:val="24"/>
          <w:szCs w:val="24"/>
        </w:rPr>
        <w:t>鑫广绿环</w:t>
      </w:r>
      <w:r>
        <w:rPr>
          <w:rFonts w:hint="eastAsia" w:ascii="微软雅黑" w:hAnsi="微软雅黑" w:eastAsia="微软雅黑" w:cs="微软雅黑"/>
          <w:b w:val="0"/>
          <w:bCs w:val="0"/>
          <w:i w:val="0"/>
          <w:iCs w:val="0"/>
          <w:caps w:val="0"/>
          <w:color w:val="000000"/>
          <w:spacing w:val="0"/>
          <w:sz w:val="24"/>
          <w:szCs w:val="24"/>
          <w:lang w:val="en-US" w:eastAsia="zh-CN"/>
        </w:rPr>
        <w:t>化验室仪器</w:t>
      </w:r>
    </w:p>
    <w:p>
      <w:pPr>
        <w:widowControl/>
        <w:shd w:val="clear" w:color="auto" w:fill="FFFFFF"/>
        <w:spacing w:before="156" w:line="228"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rPr>
          <w:rFonts w:ascii="宋体" w:hAnsi="宋体" w:cs="Arial"/>
          <w:sz w:val="24"/>
          <w:szCs w:val="24"/>
        </w:rPr>
      </w:pPr>
      <w:r>
        <w:rPr>
          <w:rFonts w:hint="eastAsia" w:ascii="宋体" w:hAnsi="宋体" w:cs="Arial"/>
          <w:sz w:val="24"/>
          <w:szCs w:val="24"/>
        </w:rPr>
        <w:t>2.2投标人须具备专业资质，要求证照齐全，具备出售标的物的资质。</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21年</w:t>
      </w:r>
      <w:r>
        <w:rPr>
          <w:rFonts w:hint="eastAsia" w:ascii="宋体" w:hAnsi="宋体" w:cs="Arial"/>
          <w:sz w:val="24"/>
          <w:szCs w:val="24"/>
          <w:lang w:val="en-US" w:eastAsia="zh-CN"/>
        </w:rPr>
        <w:t>12</w:t>
      </w:r>
      <w:r>
        <w:rPr>
          <w:rFonts w:hint="eastAsia" w:ascii="宋体" w:hAnsi="宋体" w:cs="Arial"/>
          <w:sz w:val="24"/>
          <w:szCs w:val="24"/>
        </w:rPr>
        <w:t>月</w:t>
      </w:r>
      <w:r>
        <w:rPr>
          <w:rFonts w:hint="eastAsia" w:ascii="宋体" w:hAnsi="宋体" w:cs="Arial"/>
          <w:sz w:val="24"/>
          <w:szCs w:val="24"/>
          <w:lang w:val="en-US" w:eastAsia="zh-CN"/>
        </w:rPr>
        <w:t>17</w:t>
      </w:r>
      <w:r>
        <w:rPr>
          <w:rFonts w:hint="eastAsia" w:ascii="宋体" w:hAnsi="宋体" w:cs="Arial"/>
          <w:sz w:val="24"/>
          <w:szCs w:val="24"/>
        </w:rPr>
        <w:t>日（周</w:t>
      </w:r>
      <w:r>
        <w:rPr>
          <w:rFonts w:hint="eastAsia" w:ascii="宋体" w:hAnsi="宋体" w:cs="Arial"/>
          <w:sz w:val="24"/>
          <w:szCs w:val="24"/>
          <w:lang w:val="en-US" w:eastAsia="zh-CN"/>
        </w:rPr>
        <w:t>五</w:t>
      </w:r>
      <w:r>
        <w:rPr>
          <w:rFonts w:hint="eastAsia" w:ascii="宋体" w:hAnsi="宋体" w:cs="Arial"/>
          <w:sz w:val="24"/>
          <w:szCs w:val="24"/>
        </w:rPr>
        <w:t>）。</w:t>
      </w:r>
    </w:p>
    <w:p>
      <w:pPr>
        <w:adjustRightInd w:val="0"/>
        <w:snapToGrid w:val="0"/>
        <w:spacing w:beforeLines="50" w:line="288" w:lineRule="auto"/>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21年</w:t>
      </w:r>
      <w:r>
        <w:rPr>
          <w:rFonts w:hint="eastAsia" w:ascii="宋体" w:hAnsi="宋体" w:cs="Arial"/>
          <w:color w:val="FF0000"/>
          <w:sz w:val="24"/>
          <w:szCs w:val="24"/>
          <w:lang w:val="en-US" w:eastAsia="zh-CN"/>
        </w:rPr>
        <w:t>12</w:t>
      </w:r>
      <w:r>
        <w:rPr>
          <w:rFonts w:hint="eastAsia" w:ascii="宋体" w:hAnsi="宋体" w:cs="Arial"/>
          <w:color w:val="FF0000"/>
          <w:sz w:val="24"/>
          <w:szCs w:val="24"/>
        </w:rPr>
        <w:t>月</w:t>
      </w:r>
      <w:r>
        <w:rPr>
          <w:rFonts w:hint="eastAsia" w:ascii="宋体" w:hAnsi="宋体" w:cs="Arial"/>
          <w:color w:val="FF0000"/>
          <w:sz w:val="24"/>
          <w:szCs w:val="24"/>
          <w:lang w:val="en-US" w:eastAsia="zh-CN"/>
        </w:rPr>
        <w:t>23</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rPr>
          <w:rFonts w:hint="eastAsia"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Lines="50" w:line="288" w:lineRule="auto"/>
        <w:rPr>
          <w:rFonts w:hint="default" w:ascii="宋体" w:hAnsi="宋体" w:cs="Arial" w:eastAsiaTheme="minorEastAsia"/>
          <w:color w:val="000000"/>
          <w:sz w:val="24"/>
          <w:szCs w:val="24"/>
          <w:lang w:val="en-US" w:eastAsia="zh-CN"/>
        </w:rPr>
      </w:pPr>
      <w:r>
        <w:rPr>
          <w:rFonts w:hint="eastAsia" w:ascii="宋体" w:hAnsi="宋体" w:cs="Arial"/>
          <w:color w:val="000000"/>
          <w:sz w:val="24"/>
          <w:szCs w:val="24"/>
          <w:lang w:val="en-US" w:eastAsia="zh-CN"/>
        </w:rPr>
        <w:t xml:space="preserve">    答疑联系人：姜经理（手机13780924811）</w:t>
      </w:r>
    </w:p>
    <w:p>
      <w:pPr>
        <w:adjustRightInd w:val="0"/>
        <w:snapToGrid w:val="0"/>
        <w:spacing w:beforeLines="50" w:line="288" w:lineRule="auto"/>
        <w:rPr>
          <w:rFonts w:hint="eastAsia" w:ascii="宋体" w:hAnsi="宋体" w:cs="Arial"/>
          <w:color w:val="FF0000"/>
          <w:sz w:val="24"/>
          <w:szCs w:val="24"/>
          <w:lang w:val="en-US" w:eastAsia="zh-CN"/>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6</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1</w:t>
      </w:r>
      <w:r>
        <w:rPr>
          <w:rFonts w:hint="eastAsia" w:ascii="宋体" w:hAnsi="宋体" w:cs="Arial"/>
          <w:color w:val="FF0000"/>
          <w:sz w:val="24"/>
          <w:szCs w:val="24"/>
        </w:rPr>
        <w:t>年</w:t>
      </w:r>
      <w:r>
        <w:rPr>
          <w:rFonts w:hint="eastAsia" w:ascii="宋体" w:hAnsi="宋体" w:cs="Arial"/>
          <w:color w:val="FF0000"/>
          <w:sz w:val="24"/>
          <w:szCs w:val="24"/>
          <w:lang w:val="en-US" w:eastAsia="zh-CN"/>
        </w:rPr>
        <w:t>12</w:t>
      </w:r>
      <w:r>
        <w:rPr>
          <w:rFonts w:hint="eastAsia" w:ascii="宋体" w:hAnsi="宋体" w:cs="Arial"/>
          <w:color w:val="FF0000"/>
          <w:sz w:val="24"/>
          <w:szCs w:val="24"/>
        </w:rPr>
        <w:t>月</w:t>
      </w:r>
      <w:r>
        <w:rPr>
          <w:rFonts w:hint="eastAsia" w:ascii="宋体" w:hAnsi="宋体" w:cs="Arial"/>
          <w:color w:val="FF0000"/>
          <w:sz w:val="24"/>
          <w:szCs w:val="24"/>
          <w:lang w:val="en-US" w:eastAsia="zh-CN"/>
        </w:rPr>
        <w:t>23</w:t>
      </w:r>
      <w:bookmarkStart w:id="1" w:name="_GoBack"/>
      <w:bookmarkEnd w:id="1"/>
      <w:r>
        <w:rPr>
          <w:rFonts w:hint="eastAsia" w:ascii="宋体" w:hAnsi="宋体" w:cs="Arial"/>
          <w:color w:val="FF0000"/>
          <w:sz w:val="24"/>
          <w:szCs w:val="24"/>
        </w:rPr>
        <w:t>日14</w:t>
      </w:r>
      <w:r>
        <w:rPr>
          <w:rFonts w:hint="eastAsia" w:ascii="宋体" w:hAnsi="宋体" w:cs="Arial"/>
          <w:color w:val="FF0000"/>
          <w:sz w:val="24"/>
          <w:szCs w:val="24"/>
          <w:lang w:eastAsia="zh-CN"/>
        </w:rPr>
        <w:t>：</w:t>
      </w:r>
      <w:r>
        <w:rPr>
          <w:rFonts w:hint="eastAsia" w:ascii="宋体" w:hAnsi="宋体" w:cs="Arial"/>
          <w:color w:val="FF0000"/>
          <w:sz w:val="24"/>
          <w:szCs w:val="24"/>
          <w:lang w:val="en-US" w:eastAsia="zh-CN"/>
        </w:rPr>
        <w:t>30</w:t>
      </w:r>
    </w:p>
    <w:p>
      <w:pPr>
        <w:adjustRightInd w:val="0"/>
        <w:snapToGrid w:val="0"/>
        <w:spacing w:beforeLines="50" w:line="288" w:lineRule="auto"/>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adjustRightInd w:val="0"/>
        <w:snapToGrid w:val="0"/>
        <w:spacing w:beforeLines="50"/>
        <w:jc w:val="left"/>
        <w:rPr>
          <w:rFonts w:ascii="宋体" w:hAnsi="宋体" w:cs="Arial"/>
          <w:b w:val="0"/>
          <w:bCs w:val="0"/>
          <w:sz w:val="24"/>
          <w:szCs w:val="24"/>
        </w:rPr>
      </w:pPr>
      <w:r>
        <w:rPr>
          <w:rFonts w:hint="eastAsia" w:ascii="宋体" w:hAnsi="宋体" w:eastAsia="宋体" w:cs="宋体"/>
          <w:b/>
          <w:bCs/>
          <w:color w:val="000000"/>
          <w:kern w:val="0"/>
          <w:sz w:val="24"/>
          <w:szCs w:val="24"/>
        </w:rPr>
        <w:t>1、适用范围：</w:t>
      </w:r>
      <w:r>
        <w:rPr>
          <w:rFonts w:hint="eastAsia" w:ascii="微软雅黑" w:hAnsi="微软雅黑" w:eastAsia="微软雅黑" w:cs="微软雅黑"/>
          <w:b w:val="0"/>
          <w:bCs w:val="0"/>
          <w:i w:val="0"/>
          <w:iCs w:val="0"/>
          <w:caps w:val="0"/>
          <w:color w:val="000000"/>
          <w:spacing w:val="0"/>
          <w:sz w:val="24"/>
          <w:szCs w:val="24"/>
        </w:rPr>
        <w:t>鑫广绿环</w:t>
      </w:r>
      <w:r>
        <w:rPr>
          <w:rFonts w:hint="eastAsia" w:ascii="微软雅黑" w:hAnsi="微软雅黑" w:eastAsia="微软雅黑" w:cs="微软雅黑"/>
          <w:b w:val="0"/>
          <w:bCs w:val="0"/>
          <w:i w:val="0"/>
          <w:iCs w:val="0"/>
          <w:caps w:val="0"/>
          <w:color w:val="000000"/>
          <w:spacing w:val="0"/>
          <w:sz w:val="24"/>
          <w:szCs w:val="24"/>
          <w:lang w:val="en-US" w:eastAsia="zh-CN"/>
        </w:rPr>
        <w:t>化验室仪器</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3.1</w:t>
      </w:r>
      <w:r>
        <w:rPr>
          <w:rFonts w:hint="eastAsia" w:ascii="宋体" w:hAnsi="宋体" w:eastAsia="宋体" w:cs="Arial"/>
          <w:color w:val="000000"/>
          <w:kern w:val="0"/>
          <w:sz w:val="24"/>
          <w:szCs w:val="24"/>
        </w:rPr>
        <w:t>投标人本企业有关证明复印件，如：营业执照、资质证书、安全证书、其它信誉证书等。</w:t>
      </w:r>
    </w:p>
    <w:p>
      <w:pPr>
        <w:widowControl/>
        <w:shd w:val="clear" w:color="auto" w:fill="FFFFFF"/>
        <w:spacing w:before="156" w:line="228"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rPr>
          <w:rFonts w:hint="eastAsia"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30</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rPr>
          <w:rFonts w:hint="default" w:eastAsiaTheme="minorEastAsia"/>
          <w:sz w:val="24"/>
          <w:lang w:val="en-US" w:eastAsia="zh-CN"/>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w:t>
      </w:r>
      <w:r>
        <w:rPr>
          <w:rFonts w:hint="eastAsia"/>
          <w:sz w:val="24"/>
          <w:lang w:val="en-US" w:eastAsia="zh-CN"/>
        </w:rPr>
        <w:t>总货款不低于50%银行承兑。</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w:t>
      </w:r>
      <w:r>
        <w:rPr>
          <w:rFonts w:hint="eastAsia" w:ascii="宋体" w:hAnsi="宋体" w:eastAsia="宋体" w:cs="宋体"/>
          <w:color w:val="000000"/>
          <w:kern w:val="0"/>
          <w:sz w:val="24"/>
          <w:szCs w:val="24"/>
          <w:lang w:val="en-US" w:eastAsia="zh-CN"/>
        </w:rPr>
        <w:t>民典法</w:t>
      </w:r>
      <w:r>
        <w:rPr>
          <w:rFonts w:hint="eastAsia" w:ascii="宋体" w:hAnsi="宋体" w:eastAsia="宋体" w:cs="宋体"/>
          <w:color w:val="000000"/>
          <w:kern w:val="0"/>
          <w:sz w:val="24"/>
          <w:szCs w:val="24"/>
        </w:rPr>
        <w:t>》和招标文件内容的解释为准。</w:t>
      </w: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rPr>
          <w:rFonts w:hint="eastAsia" w:ascii="宋体" w:hAnsi="宋体" w:cs="Arial"/>
          <w:b/>
          <w:sz w:val="24"/>
          <w:szCs w:val="24"/>
        </w:rPr>
      </w:pPr>
    </w:p>
    <w:p>
      <w:pPr>
        <w:widowControl/>
        <w:shd w:val="clear" w:color="auto" w:fill="FFFFFF"/>
        <w:spacing w:before="156" w:line="228" w:lineRule="atLeast"/>
        <w:rPr>
          <w:rFonts w:ascii="宋体" w:hAnsi="宋体" w:cs="Arial"/>
          <w:b/>
          <w:sz w:val="24"/>
          <w:szCs w:val="24"/>
        </w:rPr>
      </w:pPr>
      <w:r>
        <w:rPr>
          <w:rFonts w:hint="eastAsia" w:ascii="宋体" w:hAnsi="宋体" w:cs="Arial"/>
          <w:b/>
          <w:sz w:val="24"/>
          <w:szCs w:val="24"/>
        </w:rPr>
        <w:t>项目名称：</w:t>
      </w:r>
      <w:r>
        <w:rPr>
          <w:rFonts w:hint="eastAsia" w:ascii="微软雅黑" w:hAnsi="微软雅黑" w:eastAsia="微软雅黑" w:cs="微软雅黑"/>
          <w:b w:val="0"/>
          <w:bCs w:val="0"/>
          <w:i w:val="0"/>
          <w:iCs w:val="0"/>
          <w:caps w:val="0"/>
          <w:color w:val="000000"/>
          <w:spacing w:val="0"/>
          <w:sz w:val="24"/>
          <w:szCs w:val="24"/>
        </w:rPr>
        <w:t>鑫广绿环</w:t>
      </w:r>
      <w:r>
        <w:rPr>
          <w:rFonts w:hint="eastAsia" w:ascii="微软雅黑" w:hAnsi="微软雅黑" w:eastAsia="微软雅黑" w:cs="微软雅黑"/>
          <w:b w:val="0"/>
          <w:bCs w:val="0"/>
          <w:i w:val="0"/>
          <w:iCs w:val="0"/>
          <w:caps w:val="0"/>
          <w:color w:val="000000"/>
          <w:spacing w:val="0"/>
          <w:sz w:val="24"/>
          <w:szCs w:val="24"/>
          <w:lang w:val="en-US" w:eastAsia="zh-CN"/>
        </w:rPr>
        <w:t>化验室仪器</w:t>
      </w:r>
    </w:p>
    <w:p>
      <w:pPr>
        <w:widowControl/>
        <w:shd w:val="clear" w:color="auto" w:fill="FFFFFF"/>
        <w:spacing w:after="120" w:line="362" w:lineRule="atLeast"/>
        <w:ind w:firstLine="1897" w:firstLineChars="900"/>
        <w:jc w:val="left"/>
        <w:rPr>
          <w:rFonts w:ascii="宋体" w:hAnsi="宋体" w:cs="Arial"/>
          <w:b/>
          <w:sz w:val="21"/>
          <w:szCs w:val="21"/>
        </w:rPr>
      </w:pPr>
      <w:r>
        <w:rPr>
          <w:rFonts w:hint="eastAsia" w:ascii="宋体" w:hAnsi="宋体" w:cs="宋体"/>
          <w:b/>
          <w:bCs/>
          <w:color w:val="000000"/>
          <w:kern w:val="0"/>
          <w:sz w:val="21"/>
          <w:szCs w:val="21"/>
        </w:rPr>
        <w:t>开标一览表</w:t>
      </w:r>
    </w:p>
    <w:tbl>
      <w:tblPr>
        <w:tblStyle w:val="6"/>
        <w:tblpPr w:leftFromText="180" w:rightFromText="180" w:vertAnchor="text" w:horzAnchor="page" w:tblpX="1585" w:tblpY="221"/>
        <w:tblOverlap w:val="never"/>
        <w:tblW w:w="90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598"/>
        <w:gridCol w:w="3420"/>
        <w:gridCol w:w="653"/>
        <w:gridCol w:w="800"/>
        <w:gridCol w:w="133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01"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1"/>
                <w:szCs w:val="21"/>
              </w:rPr>
            </w:pPr>
            <w:r>
              <w:rPr>
                <w:rFonts w:hint="eastAsia" w:cs="宋体" w:asciiTheme="minorEastAsia" w:hAnsiTheme="minorEastAsia" w:eastAsiaTheme="minorEastAsia"/>
                <w:b/>
                <w:color w:val="000000"/>
                <w:kern w:val="0"/>
                <w:sz w:val="21"/>
                <w:szCs w:val="21"/>
              </w:rPr>
              <w:t>投标单位名称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7"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both"/>
              <w:rPr>
                <w:rFonts w:hint="eastAsia" w:cs="宋体" w:asciiTheme="minorEastAsia" w:hAnsiTheme="minorEastAsia" w:eastAsiaTheme="minorEastAsia"/>
                <w:color w:val="000000"/>
                <w:kern w:val="0"/>
                <w:sz w:val="21"/>
                <w:szCs w:val="21"/>
              </w:rPr>
            </w:pPr>
            <w:r>
              <w:rPr>
                <w:rFonts w:hint="eastAsia" w:cs="宋体" w:asciiTheme="minorEastAsia" w:hAnsiTheme="minorEastAsia" w:eastAsiaTheme="minorEastAsia"/>
                <w:b/>
                <w:color w:val="000000"/>
                <w:kern w:val="0"/>
                <w:sz w:val="21"/>
                <w:szCs w:val="21"/>
              </w:rPr>
              <w:t>总报价</w:t>
            </w:r>
            <w:r>
              <w:rPr>
                <w:rFonts w:hint="eastAsia" w:cs="宋体" w:asciiTheme="minorEastAsia" w:hAnsiTheme="minorEastAsia"/>
                <w:b/>
                <w:color w:val="000000"/>
                <w:kern w:val="0"/>
                <w:sz w:val="21"/>
                <w:szCs w:val="21"/>
                <w:lang w:val="en-US" w:eastAsia="zh-CN"/>
              </w:rPr>
              <w:t xml:space="preserve">                                                 </w:t>
            </w:r>
            <w:r>
              <w:rPr>
                <w:rFonts w:hint="eastAsia" w:cs="宋体" w:asciiTheme="minorEastAsia" w:hAnsiTheme="minorEastAsia" w:eastAsiaTheme="minorEastAsia"/>
                <w:color w:val="000000"/>
                <w:kern w:val="0"/>
                <w:sz w:val="21"/>
                <w:szCs w:val="21"/>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7" w:hRule="atLeast"/>
        </w:trPr>
        <w:tc>
          <w:tcPr>
            <w:tcW w:w="1598" w:type="dxa"/>
            <w:shd w:val="clear" w:color="auto" w:fill="FFFFFF"/>
            <w:tcMar>
              <w:top w:w="0" w:type="dxa"/>
              <w:left w:w="108" w:type="dxa"/>
              <w:bottom w:w="0" w:type="dxa"/>
              <w:right w:w="108" w:type="dxa"/>
            </w:tcMar>
            <w:vAlign w:val="center"/>
          </w:tcPr>
          <w:p>
            <w:pPr>
              <w:widowControl/>
              <w:spacing w:line="285" w:lineRule="atLeast"/>
              <w:jc w:val="center"/>
              <w:rPr>
                <w:rFonts w:hint="eastAsia" w:cs="宋体" w:asciiTheme="minorEastAsia" w:hAnsiTheme="minorEastAsia" w:eastAsiaTheme="minorEastAsia"/>
                <w:b/>
                <w:color w:val="000000"/>
                <w:kern w:val="0"/>
                <w:sz w:val="21"/>
                <w:szCs w:val="21"/>
                <w:lang w:val="en-US" w:eastAsia="zh-CN"/>
              </w:rPr>
            </w:pPr>
            <w:r>
              <w:rPr>
                <w:rFonts w:hint="eastAsia" w:cs="宋体" w:asciiTheme="minorEastAsia" w:hAnsiTheme="minorEastAsia"/>
                <w:b/>
                <w:color w:val="000000"/>
                <w:kern w:val="0"/>
                <w:sz w:val="21"/>
                <w:szCs w:val="21"/>
                <w:lang w:val="en-US" w:eastAsia="zh-CN"/>
              </w:rPr>
              <w:t>名称</w:t>
            </w:r>
          </w:p>
        </w:tc>
        <w:tc>
          <w:tcPr>
            <w:tcW w:w="3420" w:type="dxa"/>
            <w:shd w:val="clear" w:color="auto" w:fill="FFFFFF"/>
            <w:tcMar>
              <w:top w:w="0" w:type="dxa"/>
              <w:left w:w="108" w:type="dxa"/>
              <w:bottom w:w="0" w:type="dxa"/>
              <w:right w:w="108" w:type="dxa"/>
            </w:tcMar>
            <w:vAlign w:val="center"/>
          </w:tcPr>
          <w:p>
            <w:pPr>
              <w:widowControl/>
              <w:spacing w:line="285" w:lineRule="atLeast"/>
              <w:jc w:val="center"/>
              <w:rPr>
                <w:rFonts w:hint="eastAsia" w:cs="宋体" w:asciiTheme="minorEastAsia" w:hAnsiTheme="minorEastAsia" w:eastAsiaTheme="minorEastAsia"/>
                <w:color w:val="000000"/>
                <w:kern w:val="0"/>
                <w:sz w:val="21"/>
                <w:szCs w:val="21"/>
                <w:lang w:eastAsia="zh-CN"/>
              </w:rPr>
            </w:pPr>
            <w:r>
              <w:rPr>
                <w:rFonts w:hint="eastAsia" w:cs="宋体" w:asciiTheme="minorEastAsia" w:hAnsiTheme="minorEastAsia"/>
                <w:color w:val="000000"/>
                <w:kern w:val="0"/>
                <w:sz w:val="21"/>
                <w:szCs w:val="21"/>
                <w:lang w:val="en-US" w:eastAsia="zh-CN"/>
              </w:rPr>
              <w:t>规格型号</w:t>
            </w:r>
          </w:p>
        </w:tc>
        <w:tc>
          <w:tcPr>
            <w:tcW w:w="653" w:type="dxa"/>
            <w:shd w:val="clear" w:color="auto" w:fill="FFFFFF"/>
            <w:tcMar>
              <w:top w:w="0" w:type="dxa"/>
              <w:left w:w="108" w:type="dxa"/>
              <w:bottom w:w="0" w:type="dxa"/>
              <w:right w:w="108" w:type="dxa"/>
            </w:tcMar>
            <w:vAlign w:val="center"/>
          </w:tcPr>
          <w:p>
            <w:pPr>
              <w:widowControl/>
              <w:spacing w:line="285" w:lineRule="atLeast"/>
              <w:jc w:val="center"/>
              <w:rPr>
                <w:rFonts w:hint="eastAsia" w:cs="宋体" w:asciiTheme="minorEastAsia" w:hAnsiTheme="minorEastAsia" w:eastAsiaTheme="minorEastAsia"/>
                <w:color w:val="000000"/>
                <w:kern w:val="0"/>
                <w:sz w:val="21"/>
                <w:szCs w:val="21"/>
                <w:lang w:val="en-US" w:eastAsia="zh-CN"/>
              </w:rPr>
            </w:pPr>
            <w:r>
              <w:rPr>
                <w:rFonts w:hint="eastAsia" w:cs="宋体" w:asciiTheme="minorEastAsia" w:hAnsiTheme="minorEastAsia"/>
                <w:color w:val="000000"/>
                <w:kern w:val="0"/>
                <w:sz w:val="21"/>
                <w:szCs w:val="21"/>
                <w:lang w:val="en-US" w:eastAsia="zh-CN"/>
              </w:rPr>
              <w:t>单位</w:t>
            </w:r>
          </w:p>
        </w:tc>
        <w:tc>
          <w:tcPr>
            <w:tcW w:w="800" w:type="dxa"/>
            <w:shd w:val="clear" w:color="auto" w:fill="FFFFFF"/>
            <w:tcMar>
              <w:top w:w="0" w:type="dxa"/>
              <w:left w:w="108" w:type="dxa"/>
              <w:bottom w:w="0" w:type="dxa"/>
              <w:right w:w="108" w:type="dxa"/>
            </w:tcMar>
            <w:vAlign w:val="center"/>
          </w:tcPr>
          <w:p>
            <w:pPr>
              <w:widowControl/>
              <w:spacing w:line="285" w:lineRule="atLeast"/>
              <w:jc w:val="both"/>
              <w:rPr>
                <w:rFonts w:hint="default" w:cs="宋体" w:asciiTheme="minorEastAsia" w:hAnsiTheme="minorEastAsia" w:eastAsiaTheme="minorEastAsia"/>
                <w:color w:val="000000"/>
                <w:kern w:val="0"/>
                <w:sz w:val="21"/>
                <w:szCs w:val="21"/>
                <w:lang w:val="en-US" w:eastAsia="zh-CN"/>
              </w:rPr>
            </w:pPr>
            <w:r>
              <w:rPr>
                <w:rFonts w:hint="eastAsia" w:cs="宋体" w:asciiTheme="minorEastAsia" w:hAnsiTheme="minorEastAsia"/>
                <w:color w:val="000000"/>
                <w:kern w:val="0"/>
                <w:sz w:val="21"/>
                <w:szCs w:val="21"/>
                <w:lang w:val="en-US" w:eastAsia="zh-CN"/>
              </w:rPr>
              <w:t>数量</w:t>
            </w:r>
          </w:p>
        </w:tc>
        <w:tc>
          <w:tcPr>
            <w:tcW w:w="1337" w:type="dxa"/>
            <w:shd w:val="clear" w:color="auto" w:fill="FFFFFF"/>
            <w:tcMar>
              <w:top w:w="0" w:type="dxa"/>
              <w:left w:w="108" w:type="dxa"/>
              <w:bottom w:w="0" w:type="dxa"/>
              <w:right w:w="108" w:type="dxa"/>
            </w:tcMar>
            <w:vAlign w:val="center"/>
          </w:tcPr>
          <w:p>
            <w:pPr>
              <w:widowControl/>
              <w:spacing w:line="285" w:lineRule="atLeast"/>
              <w:jc w:val="both"/>
              <w:rPr>
                <w:rFonts w:hint="default" w:cs="宋体" w:asciiTheme="minorEastAsia" w:hAnsiTheme="minorEastAsia"/>
                <w:color w:val="000000"/>
                <w:kern w:val="0"/>
                <w:sz w:val="21"/>
                <w:szCs w:val="21"/>
                <w:lang w:val="en-US" w:eastAsia="zh-CN"/>
              </w:rPr>
            </w:pPr>
            <w:r>
              <w:rPr>
                <w:rFonts w:hint="eastAsia" w:cs="宋体" w:asciiTheme="minorEastAsia" w:hAnsiTheme="minorEastAsia"/>
                <w:color w:val="000000"/>
                <w:kern w:val="0"/>
                <w:sz w:val="21"/>
                <w:szCs w:val="21"/>
                <w:lang w:val="en-US" w:eastAsia="zh-CN"/>
              </w:rPr>
              <w:t>单价RMB</w:t>
            </w:r>
          </w:p>
        </w:tc>
        <w:tc>
          <w:tcPr>
            <w:tcW w:w="1201" w:type="dxa"/>
            <w:shd w:val="clear" w:color="auto" w:fill="FFFFFF"/>
            <w:tcMar>
              <w:top w:w="0" w:type="dxa"/>
              <w:left w:w="108" w:type="dxa"/>
              <w:bottom w:w="0" w:type="dxa"/>
              <w:right w:w="108" w:type="dxa"/>
            </w:tcMar>
            <w:vAlign w:val="center"/>
          </w:tcPr>
          <w:p>
            <w:pPr>
              <w:widowControl/>
              <w:spacing w:line="285" w:lineRule="atLeast"/>
              <w:jc w:val="both"/>
              <w:rPr>
                <w:rFonts w:hint="default" w:cs="宋体" w:asciiTheme="minorEastAsia" w:hAnsiTheme="minorEastAsia"/>
                <w:color w:val="000000"/>
                <w:kern w:val="0"/>
                <w:sz w:val="21"/>
                <w:szCs w:val="21"/>
                <w:lang w:val="en-US" w:eastAsia="zh-CN"/>
              </w:rPr>
            </w:pPr>
            <w:r>
              <w:rPr>
                <w:rFonts w:hint="eastAsia" w:cs="宋体" w:asciiTheme="minorEastAsia" w:hAnsiTheme="minorEastAsia"/>
                <w:color w:val="000000"/>
                <w:kern w:val="0"/>
                <w:sz w:val="21"/>
                <w:szCs w:val="21"/>
                <w:lang w:val="en-US" w:eastAsia="zh-CN"/>
              </w:rPr>
              <w:t>总价RMB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152" w:hRule="atLeast"/>
        </w:trPr>
        <w:tc>
          <w:tcPr>
            <w:tcW w:w="1598" w:type="dxa"/>
            <w:shd w:val="clear" w:color="auto" w:fill="FFFFFF"/>
            <w:tcMar>
              <w:top w:w="0" w:type="dxa"/>
              <w:left w:w="108" w:type="dxa"/>
              <w:bottom w:w="0" w:type="dxa"/>
              <w:right w:w="108" w:type="dxa"/>
            </w:tcMar>
            <w:vAlign w:val="center"/>
          </w:tcPr>
          <w:p>
            <w:pPr>
              <w:spacing w:line="240" w:lineRule="auto"/>
              <w:ind w:left="550" w:leftChars="100" w:hanging="340"/>
              <w:jc w:val="left"/>
              <w:rPr>
                <w:b w:val="0"/>
                <w:bCs w:val="0"/>
                <w:sz w:val="18"/>
                <w:szCs w:val="18"/>
              </w:rPr>
            </w:pPr>
            <w:r>
              <w:rPr>
                <w:rFonts w:hint="eastAsia"/>
                <w:b w:val="0"/>
                <w:bCs w:val="0"/>
                <w:sz w:val="18"/>
                <w:szCs w:val="18"/>
              </w:rPr>
              <w:t>高温燃烧离子色谱仪</w:t>
            </w:r>
          </w:p>
          <w:p>
            <w:pPr>
              <w:numPr>
                <w:ilvl w:val="0"/>
                <w:numId w:val="0"/>
              </w:numPr>
              <w:spacing w:line="240" w:lineRule="auto"/>
              <w:ind w:left="210" w:leftChars="100"/>
              <w:jc w:val="left"/>
              <w:rPr>
                <w:rFonts w:cs="宋体" w:asciiTheme="minorEastAsia" w:hAnsiTheme="minorEastAsia" w:eastAsiaTheme="minorEastAsia"/>
                <w:b w:val="0"/>
                <w:bCs w:val="0"/>
                <w:color w:val="000000"/>
                <w:kern w:val="0"/>
                <w:sz w:val="18"/>
                <w:szCs w:val="18"/>
              </w:rPr>
            </w:pPr>
          </w:p>
        </w:tc>
        <w:tc>
          <w:tcPr>
            <w:tcW w:w="3420" w:type="dxa"/>
            <w:shd w:val="clear" w:color="auto" w:fill="FFFFFF"/>
            <w:tcMar>
              <w:top w:w="0" w:type="dxa"/>
              <w:left w:w="108" w:type="dxa"/>
              <w:bottom w:w="0" w:type="dxa"/>
              <w:right w:w="108" w:type="dxa"/>
            </w:tcMar>
            <w:vAlign w:val="center"/>
          </w:tcPr>
          <w:p>
            <w:pPr>
              <w:pStyle w:val="14"/>
              <w:numPr>
                <w:ilvl w:val="0"/>
                <w:numId w:val="1"/>
              </w:numPr>
              <w:spacing w:line="240" w:lineRule="auto"/>
              <w:ind w:left="210" w:leftChars="100" w:firstLineChars="0"/>
              <w:jc w:val="left"/>
              <w:rPr>
                <w:rFonts w:ascii="宋体" w:hAnsi="宋体" w:cs="宋体"/>
                <w:b w:val="0"/>
                <w:bCs w:val="0"/>
                <w:sz w:val="18"/>
                <w:szCs w:val="18"/>
              </w:rPr>
            </w:pPr>
            <w:r>
              <w:rPr>
                <w:rFonts w:hint="eastAsia" w:ascii="宋体" w:hAnsi="宋体" w:cs="宋体"/>
                <w:b w:val="0"/>
                <w:bCs w:val="0"/>
                <w:sz w:val="18"/>
                <w:szCs w:val="18"/>
              </w:rPr>
              <w:t>直接测定固体废物(含液态)、生物质、土壤、矿石、水泥等物质的氟、氯、溴、硫元素定性定量分析。</w:t>
            </w:r>
          </w:p>
          <w:p>
            <w:pPr>
              <w:pStyle w:val="14"/>
              <w:numPr>
                <w:ilvl w:val="0"/>
                <w:numId w:val="1"/>
              </w:numPr>
              <w:spacing w:line="240" w:lineRule="auto"/>
              <w:ind w:left="210" w:leftChars="100" w:firstLineChars="0"/>
              <w:jc w:val="left"/>
              <w:rPr>
                <w:rFonts w:ascii="宋体" w:hAnsi="宋体" w:cs="宋体"/>
                <w:b w:val="0"/>
                <w:bCs w:val="0"/>
                <w:sz w:val="18"/>
                <w:szCs w:val="18"/>
              </w:rPr>
            </w:pPr>
            <w:r>
              <w:rPr>
                <w:rFonts w:hint="eastAsia" w:ascii="宋体" w:hAnsi="宋体" w:cs="宋体"/>
                <w:b w:val="0"/>
                <w:bCs w:val="0"/>
                <w:sz w:val="18"/>
                <w:szCs w:val="18"/>
              </w:rPr>
              <w:t>全自动分析氟、氯、溴、硫含量，放样口自动开关，样品充分燃烧裂解，离子色谱法分析。</w:t>
            </w:r>
          </w:p>
          <w:p>
            <w:pPr>
              <w:pStyle w:val="14"/>
              <w:numPr>
                <w:ilvl w:val="0"/>
                <w:numId w:val="1"/>
              </w:numPr>
              <w:spacing w:line="240" w:lineRule="auto"/>
              <w:ind w:left="210" w:leftChars="100" w:firstLineChars="0"/>
              <w:jc w:val="left"/>
              <w:rPr>
                <w:rFonts w:ascii="宋体" w:hAnsi="宋体" w:cs="宋体"/>
                <w:b w:val="0"/>
                <w:bCs w:val="0"/>
                <w:sz w:val="18"/>
                <w:szCs w:val="18"/>
              </w:rPr>
            </w:pPr>
            <w:r>
              <w:rPr>
                <w:rFonts w:hint="eastAsia" w:ascii="宋体" w:hAnsi="宋体" w:cs="宋体"/>
                <w:b w:val="0"/>
                <w:bCs w:val="0"/>
                <w:sz w:val="18"/>
                <w:szCs w:val="18"/>
              </w:rPr>
              <w:t>技术原理：高温裂解/水解+离子色谱法</w:t>
            </w:r>
          </w:p>
          <w:p>
            <w:pPr>
              <w:pStyle w:val="14"/>
              <w:numPr>
                <w:ilvl w:val="0"/>
                <w:numId w:val="1"/>
              </w:numPr>
              <w:spacing w:line="240" w:lineRule="auto"/>
              <w:ind w:left="210" w:leftChars="100" w:firstLineChars="0"/>
              <w:jc w:val="left"/>
              <w:rPr>
                <w:rFonts w:ascii="宋体" w:hAnsi="宋体" w:cs="宋体"/>
                <w:b w:val="0"/>
                <w:bCs w:val="0"/>
                <w:sz w:val="18"/>
                <w:szCs w:val="18"/>
              </w:rPr>
            </w:pPr>
            <w:r>
              <w:rPr>
                <w:rFonts w:hint="eastAsia" w:ascii="宋体" w:hAnsi="宋体" w:cs="宋体"/>
                <w:b w:val="0"/>
                <w:bCs w:val="0"/>
                <w:sz w:val="18"/>
                <w:szCs w:val="18"/>
              </w:rPr>
              <w:t>测试范围：最少满足氟、氯、溴、硫：0.001%~40%</w:t>
            </w:r>
          </w:p>
          <w:p>
            <w:pPr>
              <w:widowControl/>
              <w:spacing w:line="240" w:lineRule="auto"/>
              <w:ind w:left="210" w:leftChars="100"/>
              <w:jc w:val="left"/>
              <w:rPr>
                <w:rFonts w:cs="宋体" w:asciiTheme="minorEastAsia" w:hAnsiTheme="minorEastAsia" w:eastAsiaTheme="minorEastAsia"/>
                <w:b w:val="0"/>
                <w:bCs w:val="0"/>
                <w:color w:val="000000"/>
                <w:kern w:val="0"/>
                <w:sz w:val="18"/>
                <w:szCs w:val="18"/>
              </w:rPr>
            </w:pPr>
            <w:r>
              <w:rPr>
                <w:rFonts w:hint="eastAsia" w:ascii="宋体" w:hAnsi="宋体" w:cs="宋体"/>
                <w:b w:val="0"/>
                <w:bCs w:val="0"/>
                <w:sz w:val="18"/>
                <w:szCs w:val="18"/>
              </w:rPr>
              <w:t>裂解温度：≤1200℃(可设定) 裂解时间：≤30min(可设定)</w:t>
            </w:r>
          </w:p>
        </w:tc>
        <w:tc>
          <w:tcPr>
            <w:tcW w:w="653" w:type="dxa"/>
            <w:shd w:val="clear" w:color="auto" w:fill="FFFFFF"/>
            <w:tcMar>
              <w:top w:w="0" w:type="dxa"/>
              <w:left w:w="108" w:type="dxa"/>
              <w:bottom w:w="0" w:type="dxa"/>
              <w:right w:w="108" w:type="dxa"/>
            </w:tcMar>
            <w:vAlign w:val="center"/>
          </w:tcPr>
          <w:p>
            <w:pPr>
              <w:widowControl/>
              <w:spacing w:line="240" w:lineRule="auto"/>
              <w:ind w:left="210" w:leftChars="100"/>
              <w:jc w:val="left"/>
              <w:rPr>
                <w:rFonts w:hint="eastAsia" w:cs="宋体" w:asciiTheme="minorEastAsia" w:hAnsiTheme="minorEastAsia" w:eastAsiaTheme="minorEastAsia"/>
                <w:b w:val="0"/>
                <w:bCs w:val="0"/>
                <w:color w:val="000000"/>
                <w:kern w:val="0"/>
                <w:sz w:val="18"/>
                <w:szCs w:val="18"/>
                <w:lang w:val="en-US" w:eastAsia="zh-CN"/>
              </w:rPr>
            </w:pPr>
            <w:r>
              <w:rPr>
                <w:rFonts w:hint="eastAsia" w:cs="宋体" w:asciiTheme="minorEastAsia" w:hAnsiTheme="minorEastAsia"/>
                <w:b w:val="0"/>
                <w:bCs w:val="0"/>
                <w:color w:val="000000"/>
                <w:kern w:val="0"/>
                <w:sz w:val="18"/>
                <w:szCs w:val="18"/>
                <w:lang w:val="en-US" w:eastAsia="zh-CN"/>
              </w:rPr>
              <w:t>台</w:t>
            </w:r>
          </w:p>
        </w:tc>
        <w:tc>
          <w:tcPr>
            <w:tcW w:w="800" w:type="dxa"/>
            <w:shd w:val="clear" w:color="auto" w:fill="FFFFFF"/>
            <w:tcMar>
              <w:top w:w="0" w:type="dxa"/>
              <w:left w:w="108" w:type="dxa"/>
              <w:bottom w:w="0" w:type="dxa"/>
              <w:right w:w="108" w:type="dxa"/>
            </w:tcMar>
            <w:vAlign w:val="center"/>
          </w:tcPr>
          <w:p>
            <w:pPr>
              <w:widowControl/>
              <w:spacing w:line="240" w:lineRule="auto"/>
              <w:ind w:left="210" w:leftChars="100"/>
              <w:jc w:val="left"/>
              <w:rPr>
                <w:rFonts w:hint="eastAsia" w:cs="宋体" w:asciiTheme="minorEastAsia" w:hAnsiTheme="minorEastAsia" w:eastAsiaTheme="minorEastAsia"/>
                <w:b w:val="0"/>
                <w:bCs w:val="0"/>
                <w:color w:val="000000"/>
                <w:kern w:val="0"/>
                <w:sz w:val="18"/>
                <w:szCs w:val="18"/>
                <w:lang w:val="en-US" w:eastAsia="zh-CN"/>
              </w:rPr>
            </w:pPr>
            <w:r>
              <w:rPr>
                <w:rFonts w:hint="eastAsia" w:cs="宋体" w:asciiTheme="minorEastAsia" w:hAnsiTheme="minorEastAsia"/>
                <w:b w:val="0"/>
                <w:bCs w:val="0"/>
                <w:color w:val="000000"/>
                <w:kern w:val="0"/>
                <w:sz w:val="18"/>
                <w:szCs w:val="18"/>
                <w:lang w:val="en-US" w:eastAsia="zh-CN"/>
              </w:rPr>
              <w:t>1</w:t>
            </w:r>
          </w:p>
        </w:tc>
        <w:tc>
          <w:tcPr>
            <w:tcW w:w="1337"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1"/>
                <w:szCs w:val="21"/>
                <w:lang w:val="en-US" w:eastAsia="zh-CN"/>
              </w:rPr>
            </w:pPr>
          </w:p>
        </w:tc>
        <w:tc>
          <w:tcPr>
            <w:tcW w:w="1201"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pStyle w:val="2"/>
              <w:spacing w:line="240" w:lineRule="auto"/>
              <w:ind w:left="210" w:leftChars="100" w:firstLine="900" w:firstLineChars="500"/>
              <w:jc w:val="left"/>
              <w:rPr>
                <w:rFonts w:ascii="宋体" w:hAnsi="宋体" w:eastAsia="宋体"/>
                <w:b w:val="0"/>
                <w:bCs w:val="0"/>
                <w:sz w:val="18"/>
                <w:szCs w:val="18"/>
              </w:rPr>
            </w:pPr>
            <w:r>
              <w:rPr>
                <w:rFonts w:hint="eastAsia" w:ascii="宋体" w:hAnsi="宋体" w:eastAsia="宋体"/>
                <w:b w:val="0"/>
                <w:bCs w:val="0"/>
                <w:sz w:val="18"/>
                <w:szCs w:val="18"/>
              </w:rPr>
              <w:t>色散X</w:t>
            </w:r>
            <w:r>
              <w:rPr>
                <w:rFonts w:ascii="宋体" w:hAnsi="宋体" w:eastAsia="宋体"/>
                <w:b w:val="0"/>
                <w:bCs w:val="0"/>
                <w:sz w:val="18"/>
                <w:szCs w:val="18"/>
              </w:rPr>
              <w:t>-</w:t>
            </w:r>
            <w:r>
              <w:rPr>
                <w:rFonts w:hint="eastAsia" w:ascii="宋体" w:hAnsi="宋体" w:eastAsia="宋体"/>
                <w:b w:val="0"/>
                <w:bCs w:val="0"/>
                <w:sz w:val="18"/>
                <w:szCs w:val="18"/>
              </w:rPr>
              <w:t>射线荧光光谱仪</w:t>
            </w:r>
          </w:p>
          <w:p>
            <w:pPr>
              <w:widowControl/>
              <w:spacing w:line="240" w:lineRule="auto"/>
              <w:ind w:left="210" w:leftChars="100"/>
              <w:jc w:val="left"/>
              <w:rPr>
                <w:rFonts w:hint="eastAsia" w:cs="宋体" w:asciiTheme="minorEastAsia" w:hAnsiTheme="minorEastAsia" w:eastAsiaTheme="minorEastAsia"/>
                <w:b w:val="0"/>
                <w:bCs w:val="0"/>
                <w:color w:val="000000"/>
                <w:kern w:val="0"/>
                <w:sz w:val="18"/>
                <w:szCs w:val="18"/>
              </w:rPr>
            </w:pPr>
          </w:p>
        </w:tc>
        <w:tc>
          <w:tcPr>
            <w:tcW w:w="3420" w:type="dxa"/>
            <w:shd w:val="clear" w:color="auto" w:fill="FFFFFF"/>
            <w:tcMar>
              <w:top w:w="0" w:type="dxa"/>
              <w:left w:w="108" w:type="dxa"/>
              <w:bottom w:w="0" w:type="dxa"/>
              <w:right w:w="108" w:type="dxa"/>
            </w:tcMar>
            <w:vAlign w:val="center"/>
          </w:tcPr>
          <w:p>
            <w:pPr>
              <w:pStyle w:val="14"/>
              <w:numPr>
                <w:ilvl w:val="0"/>
                <w:numId w:val="2"/>
              </w:numPr>
              <w:spacing w:line="240" w:lineRule="auto"/>
              <w:ind w:left="210" w:leftChars="100" w:firstLineChars="0"/>
              <w:jc w:val="left"/>
              <w:rPr>
                <w:rFonts w:ascii="宋体" w:hAnsi="宋体"/>
                <w:b w:val="0"/>
                <w:bCs w:val="0"/>
                <w:sz w:val="18"/>
                <w:szCs w:val="18"/>
              </w:rPr>
            </w:pPr>
            <w:r>
              <w:rPr>
                <w:rFonts w:hint="eastAsia" w:ascii="宋体" w:hAnsi="宋体"/>
                <w:b w:val="0"/>
                <w:bCs w:val="0"/>
                <w:sz w:val="18"/>
                <w:szCs w:val="18"/>
              </w:rPr>
              <w:t>至少满足《H</w:t>
            </w:r>
            <w:r>
              <w:rPr>
                <w:rFonts w:ascii="宋体" w:hAnsi="宋体"/>
                <w:b w:val="0"/>
                <w:bCs w:val="0"/>
                <w:sz w:val="18"/>
                <w:szCs w:val="18"/>
              </w:rPr>
              <w:t>J</w:t>
            </w:r>
            <w:r>
              <w:rPr>
                <w:rFonts w:hint="eastAsia" w:ascii="宋体" w:hAnsi="宋体"/>
                <w:b w:val="0"/>
                <w:bCs w:val="0"/>
                <w:sz w:val="18"/>
                <w:szCs w:val="18"/>
              </w:rPr>
              <w:t>固体废物无机元素的测定 波长色散X射线荧光光谱法》征求意见稿要求，能测定污泥、污染土壤、粉煤灰、尾矿废石和冶炼炉渣等固体废物中</w:t>
            </w:r>
            <w:r>
              <w:rPr>
                <w:rFonts w:ascii="宋体" w:hAnsi="宋体"/>
                <w:b w:val="0"/>
                <w:bCs w:val="0"/>
                <w:sz w:val="18"/>
                <w:szCs w:val="18"/>
              </w:rPr>
              <w:t>16</w:t>
            </w:r>
            <w:r>
              <w:rPr>
                <w:rFonts w:hint="eastAsia" w:ascii="宋体" w:hAnsi="宋体"/>
                <w:b w:val="0"/>
                <w:bCs w:val="0"/>
                <w:sz w:val="18"/>
                <w:szCs w:val="18"/>
              </w:rPr>
              <w:t>种无机元素和</w:t>
            </w:r>
            <w:r>
              <w:rPr>
                <w:rFonts w:ascii="宋体" w:hAnsi="宋体"/>
                <w:b w:val="0"/>
                <w:bCs w:val="0"/>
                <w:sz w:val="18"/>
                <w:szCs w:val="18"/>
              </w:rPr>
              <w:t>7</w:t>
            </w:r>
            <w:r>
              <w:rPr>
                <w:rFonts w:hint="eastAsia" w:ascii="宋体" w:hAnsi="宋体"/>
                <w:b w:val="0"/>
                <w:bCs w:val="0"/>
                <w:sz w:val="18"/>
                <w:szCs w:val="18"/>
              </w:rPr>
              <w:t>种氧化物。</w:t>
            </w:r>
          </w:p>
          <w:p>
            <w:pPr>
              <w:pStyle w:val="14"/>
              <w:numPr>
                <w:ilvl w:val="0"/>
                <w:numId w:val="2"/>
              </w:numPr>
              <w:spacing w:line="240" w:lineRule="auto"/>
              <w:ind w:left="210" w:leftChars="100" w:firstLineChars="0"/>
              <w:jc w:val="left"/>
              <w:rPr>
                <w:rFonts w:ascii="宋体" w:hAnsi="宋体"/>
                <w:b w:val="0"/>
                <w:bCs w:val="0"/>
                <w:sz w:val="18"/>
                <w:szCs w:val="18"/>
              </w:rPr>
            </w:pPr>
            <w:r>
              <w:rPr>
                <w:rFonts w:hint="eastAsia" w:ascii="宋体" w:hAnsi="宋体"/>
                <w:b w:val="0"/>
                <w:bCs w:val="0"/>
                <w:sz w:val="18"/>
                <w:szCs w:val="18"/>
              </w:rPr>
              <w:t>测试时间：3min</w:t>
            </w:r>
            <w:r>
              <w:rPr>
                <w:rFonts w:ascii="宋体" w:hAnsi="宋体"/>
                <w:b w:val="0"/>
                <w:bCs w:val="0"/>
                <w:sz w:val="18"/>
                <w:szCs w:val="18"/>
              </w:rPr>
              <w:t>-</w:t>
            </w:r>
            <w:r>
              <w:rPr>
                <w:rFonts w:hint="eastAsia" w:ascii="宋体" w:hAnsi="宋体"/>
                <w:b w:val="0"/>
                <w:bCs w:val="0"/>
                <w:sz w:val="18"/>
                <w:szCs w:val="18"/>
              </w:rPr>
              <w:t>5min / 单样</w:t>
            </w:r>
          </w:p>
          <w:p>
            <w:pPr>
              <w:pStyle w:val="14"/>
              <w:numPr>
                <w:ilvl w:val="0"/>
                <w:numId w:val="2"/>
              </w:numPr>
              <w:spacing w:line="240" w:lineRule="auto"/>
              <w:ind w:left="210" w:leftChars="100" w:firstLineChars="0"/>
              <w:jc w:val="left"/>
              <w:rPr>
                <w:rFonts w:ascii="宋体" w:hAnsi="宋体"/>
                <w:b w:val="0"/>
                <w:bCs w:val="0"/>
                <w:sz w:val="18"/>
                <w:szCs w:val="18"/>
              </w:rPr>
            </w:pPr>
            <w:r>
              <w:rPr>
                <w:rFonts w:hint="eastAsia" w:ascii="宋体" w:hAnsi="宋体"/>
                <w:b w:val="0"/>
                <w:bCs w:val="0"/>
                <w:sz w:val="18"/>
                <w:szCs w:val="18"/>
              </w:rPr>
              <w:t xml:space="preserve">测定元素范围：涵盖元素周期表中 </w:t>
            </w:r>
            <w:r>
              <w:rPr>
                <w:rFonts w:ascii="宋体" w:hAnsi="宋体"/>
                <w:b w:val="0"/>
                <w:bCs w:val="0"/>
                <w:sz w:val="18"/>
                <w:szCs w:val="18"/>
              </w:rPr>
              <w:t>Be</w:t>
            </w:r>
            <w:r>
              <w:rPr>
                <w:rFonts w:hint="eastAsia" w:ascii="宋体" w:hAnsi="宋体"/>
                <w:b w:val="0"/>
                <w:bCs w:val="0"/>
                <w:sz w:val="18"/>
                <w:szCs w:val="18"/>
              </w:rPr>
              <w:t xml:space="preserve"> </w:t>
            </w:r>
            <w:r>
              <w:rPr>
                <w:rFonts w:ascii="宋体" w:hAnsi="宋体"/>
                <w:b w:val="0"/>
                <w:bCs w:val="0"/>
                <w:sz w:val="18"/>
                <w:szCs w:val="18"/>
              </w:rPr>
              <w:t>-</w:t>
            </w:r>
            <w:r>
              <w:rPr>
                <w:rFonts w:hint="eastAsia" w:ascii="宋体" w:hAnsi="宋体"/>
                <w:b w:val="0"/>
                <w:bCs w:val="0"/>
                <w:sz w:val="18"/>
                <w:szCs w:val="18"/>
              </w:rPr>
              <w:t>U 所有元素</w:t>
            </w:r>
          </w:p>
          <w:p>
            <w:pPr>
              <w:pStyle w:val="14"/>
              <w:numPr>
                <w:ilvl w:val="0"/>
                <w:numId w:val="2"/>
              </w:numPr>
              <w:spacing w:line="240" w:lineRule="auto"/>
              <w:ind w:left="210" w:leftChars="100" w:firstLineChars="0"/>
              <w:jc w:val="left"/>
              <w:rPr>
                <w:rFonts w:ascii="宋体" w:hAnsi="宋体"/>
                <w:b w:val="0"/>
                <w:bCs w:val="0"/>
                <w:sz w:val="18"/>
                <w:szCs w:val="18"/>
              </w:rPr>
            </w:pPr>
            <w:r>
              <w:rPr>
                <w:rFonts w:hint="eastAsia" w:ascii="宋体" w:hAnsi="宋体"/>
                <w:b w:val="0"/>
                <w:bCs w:val="0"/>
                <w:sz w:val="18"/>
                <w:szCs w:val="18"/>
              </w:rPr>
              <w:t>浓度范围：ppm</w:t>
            </w:r>
            <w:r>
              <w:rPr>
                <w:rFonts w:ascii="宋体" w:hAnsi="宋体"/>
                <w:b w:val="0"/>
                <w:bCs w:val="0"/>
                <w:sz w:val="18"/>
                <w:szCs w:val="18"/>
              </w:rPr>
              <w:t>-</w:t>
            </w:r>
            <w:r>
              <w:rPr>
                <w:rFonts w:hint="eastAsia" w:ascii="宋体" w:hAnsi="宋体"/>
                <w:b w:val="0"/>
                <w:bCs w:val="0"/>
                <w:sz w:val="18"/>
                <w:szCs w:val="18"/>
              </w:rPr>
              <w:t>100%</w:t>
            </w:r>
          </w:p>
          <w:p>
            <w:pPr>
              <w:pStyle w:val="14"/>
              <w:numPr>
                <w:ilvl w:val="0"/>
                <w:numId w:val="2"/>
              </w:numPr>
              <w:spacing w:line="240" w:lineRule="auto"/>
              <w:ind w:left="210" w:leftChars="100" w:firstLineChars="0"/>
              <w:jc w:val="left"/>
              <w:rPr>
                <w:rFonts w:ascii="宋体" w:hAnsi="宋体"/>
                <w:b w:val="0"/>
                <w:bCs w:val="0"/>
                <w:sz w:val="18"/>
                <w:szCs w:val="18"/>
              </w:rPr>
            </w:pPr>
            <w:r>
              <w:rPr>
                <w:rFonts w:hint="eastAsia" w:ascii="宋体" w:hAnsi="宋体"/>
                <w:b w:val="0"/>
                <w:bCs w:val="0"/>
                <w:sz w:val="18"/>
                <w:szCs w:val="18"/>
              </w:rPr>
              <w:t>冷却方式：风冷</w:t>
            </w:r>
          </w:p>
          <w:p>
            <w:pPr>
              <w:pStyle w:val="14"/>
              <w:numPr>
                <w:ilvl w:val="0"/>
                <w:numId w:val="2"/>
              </w:numPr>
              <w:spacing w:line="240" w:lineRule="auto"/>
              <w:ind w:left="210" w:leftChars="100" w:firstLineChars="0"/>
              <w:jc w:val="left"/>
              <w:rPr>
                <w:rFonts w:ascii="宋体" w:hAnsi="宋体"/>
                <w:b w:val="0"/>
                <w:bCs w:val="0"/>
                <w:sz w:val="18"/>
                <w:szCs w:val="18"/>
              </w:rPr>
            </w:pPr>
            <w:r>
              <w:rPr>
                <w:rFonts w:hint="eastAsia" w:ascii="宋体" w:hAnsi="宋体"/>
                <w:b w:val="0"/>
                <w:bCs w:val="0"/>
                <w:sz w:val="18"/>
                <w:szCs w:val="18"/>
              </w:rPr>
              <w:t>适用范围：适用于固体、液体、粉末、颗粒样品。</w:t>
            </w:r>
          </w:p>
          <w:p>
            <w:pPr>
              <w:pStyle w:val="14"/>
              <w:numPr>
                <w:ilvl w:val="0"/>
                <w:numId w:val="2"/>
              </w:numPr>
              <w:spacing w:line="240" w:lineRule="auto"/>
              <w:ind w:left="210" w:leftChars="100" w:firstLineChars="0"/>
              <w:jc w:val="left"/>
              <w:rPr>
                <w:rFonts w:ascii="宋体" w:hAnsi="宋体"/>
                <w:b w:val="0"/>
                <w:bCs w:val="0"/>
                <w:sz w:val="18"/>
                <w:szCs w:val="18"/>
              </w:rPr>
            </w:pPr>
            <w:r>
              <w:rPr>
                <w:rFonts w:hint="eastAsia" w:ascii="宋体" w:hAnsi="宋体"/>
                <w:b w:val="0"/>
                <w:bCs w:val="0"/>
                <w:sz w:val="18"/>
                <w:szCs w:val="18"/>
              </w:rPr>
              <w:t>无需复杂的样品前处理，待测样品放入测试区域一键完成测量。</w:t>
            </w:r>
          </w:p>
          <w:p>
            <w:pPr>
              <w:pStyle w:val="14"/>
              <w:numPr>
                <w:ilvl w:val="0"/>
                <w:numId w:val="3"/>
              </w:numPr>
              <w:spacing w:line="240" w:lineRule="auto"/>
              <w:ind w:left="210" w:leftChars="100" w:firstLineChars="0"/>
              <w:jc w:val="left"/>
              <w:rPr>
                <w:rFonts w:ascii="宋体" w:hAnsi="宋体"/>
                <w:b w:val="0"/>
                <w:bCs w:val="0"/>
                <w:sz w:val="18"/>
                <w:szCs w:val="18"/>
              </w:rPr>
            </w:pPr>
            <w:r>
              <w:rPr>
                <w:rFonts w:hint="eastAsia" w:ascii="宋体" w:hAnsi="宋体"/>
                <w:b w:val="0"/>
                <w:bCs w:val="0"/>
                <w:sz w:val="18"/>
                <w:szCs w:val="18"/>
              </w:rPr>
              <w:t>分析效率高：单样测试</w:t>
            </w:r>
            <w:r>
              <w:rPr>
                <w:rFonts w:ascii="宋体" w:hAnsi="宋体"/>
                <w:b w:val="0"/>
                <w:bCs w:val="0"/>
                <w:sz w:val="18"/>
                <w:szCs w:val="18"/>
              </w:rPr>
              <w:t xml:space="preserve"> 3-5min</w:t>
            </w:r>
            <w:r>
              <w:rPr>
                <w:rFonts w:hint="eastAsia" w:ascii="宋体" w:hAnsi="宋体"/>
                <w:b w:val="0"/>
                <w:bCs w:val="0"/>
                <w:sz w:val="18"/>
                <w:szCs w:val="18"/>
              </w:rPr>
              <w:t>（可根据需要调整测试时间）。</w:t>
            </w:r>
          </w:p>
          <w:p>
            <w:pPr>
              <w:pStyle w:val="14"/>
              <w:numPr>
                <w:ilvl w:val="0"/>
                <w:numId w:val="3"/>
              </w:numPr>
              <w:spacing w:line="240" w:lineRule="auto"/>
              <w:ind w:left="210" w:leftChars="100" w:firstLineChars="0"/>
              <w:jc w:val="left"/>
              <w:rPr>
                <w:rFonts w:ascii="宋体" w:hAnsi="宋体"/>
                <w:b w:val="0"/>
                <w:bCs w:val="0"/>
                <w:sz w:val="18"/>
                <w:szCs w:val="18"/>
              </w:rPr>
            </w:pPr>
            <w:r>
              <w:rPr>
                <w:rFonts w:hint="eastAsia" w:ascii="宋体" w:hAnsi="宋体"/>
                <w:b w:val="0"/>
                <w:bCs w:val="0"/>
                <w:sz w:val="18"/>
                <w:szCs w:val="18"/>
              </w:rPr>
              <w:t>进口SI-PIN 探测器 ，含信号放大处理系统。分辨率 135ev±5ev。</w:t>
            </w:r>
          </w:p>
          <w:p>
            <w:pPr>
              <w:pStyle w:val="14"/>
              <w:numPr>
                <w:ilvl w:val="0"/>
                <w:numId w:val="3"/>
              </w:numPr>
              <w:spacing w:line="240" w:lineRule="auto"/>
              <w:ind w:left="210" w:leftChars="100" w:firstLineChars="0"/>
              <w:jc w:val="left"/>
              <w:rPr>
                <w:rFonts w:ascii="宋体" w:hAnsi="宋体"/>
                <w:b w:val="0"/>
                <w:bCs w:val="0"/>
                <w:sz w:val="18"/>
                <w:szCs w:val="18"/>
              </w:rPr>
            </w:pPr>
            <w:r>
              <w:rPr>
                <w:rFonts w:hint="eastAsia" w:ascii="宋体" w:hAnsi="宋体"/>
                <w:b w:val="0"/>
                <w:bCs w:val="0"/>
                <w:sz w:val="18"/>
                <w:szCs w:val="18"/>
              </w:rPr>
              <w:t>X 射线光管的使用寿命大于 20000 h。</w:t>
            </w:r>
          </w:p>
          <w:p>
            <w:pPr>
              <w:numPr>
                <w:ilvl w:val="0"/>
                <w:numId w:val="0"/>
              </w:numPr>
              <w:spacing w:line="240" w:lineRule="auto"/>
              <w:ind w:left="210" w:leftChars="100"/>
              <w:jc w:val="left"/>
              <w:rPr>
                <w:rFonts w:cs="宋体" w:asciiTheme="minorEastAsia" w:hAnsiTheme="minorEastAsia" w:eastAsiaTheme="minorEastAsia"/>
                <w:b w:val="0"/>
                <w:bCs w:val="0"/>
                <w:color w:val="000000"/>
                <w:kern w:val="0"/>
                <w:sz w:val="18"/>
                <w:szCs w:val="18"/>
              </w:rPr>
            </w:pPr>
          </w:p>
        </w:tc>
        <w:tc>
          <w:tcPr>
            <w:tcW w:w="653" w:type="dxa"/>
            <w:shd w:val="clear" w:color="auto" w:fill="FFFFFF"/>
            <w:tcMar>
              <w:top w:w="0" w:type="dxa"/>
              <w:left w:w="108" w:type="dxa"/>
              <w:bottom w:w="0" w:type="dxa"/>
              <w:right w:w="108" w:type="dxa"/>
            </w:tcMar>
            <w:vAlign w:val="center"/>
          </w:tcPr>
          <w:p>
            <w:pPr>
              <w:widowControl/>
              <w:spacing w:line="240" w:lineRule="auto"/>
              <w:ind w:left="210" w:leftChars="100"/>
              <w:jc w:val="left"/>
              <w:rPr>
                <w:rFonts w:hint="eastAsia" w:cs="宋体" w:asciiTheme="minorEastAsia" w:hAnsiTheme="minorEastAsia" w:eastAsiaTheme="minorEastAsia"/>
                <w:b w:val="0"/>
                <w:bCs w:val="0"/>
                <w:color w:val="000000"/>
                <w:kern w:val="0"/>
                <w:sz w:val="18"/>
                <w:szCs w:val="18"/>
                <w:lang w:val="en-US" w:eastAsia="zh-CN"/>
              </w:rPr>
            </w:pPr>
            <w:r>
              <w:rPr>
                <w:rFonts w:hint="eastAsia" w:cs="宋体" w:asciiTheme="minorEastAsia" w:hAnsiTheme="minorEastAsia"/>
                <w:b w:val="0"/>
                <w:bCs w:val="0"/>
                <w:color w:val="000000"/>
                <w:kern w:val="0"/>
                <w:sz w:val="18"/>
                <w:szCs w:val="18"/>
                <w:lang w:val="en-US" w:eastAsia="zh-CN"/>
              </w:rPr>
              <w:t>台</w:t>
            </w:r>
          </w:p>
        </w:tc>
        <w:tc>
          <w:tcPr>
            <w:tcW w:w="800" w:type="dxa"/>
            <w:shd w:val="clear" w:color="auto" w:fill="FFFFFF"/>
            <w:tcMar>
              <w:top w:w="0" w:type="dxa"/>
              <w:left w:w="108" w:type="dxa"/>
              <w:bottom w:w="0" w:type="dxa"/>
              <w:right w:w="108" w:type="dxa"/>
            </w:tcMar>
            <w:vAlign w:val="center"/>
          </w:tcPr>
          <w:p>
            <w:pPr>
              <w:widowControl/>
              <w:spacing w:line="240" w:lineRule="auto"/>
              <w:ind w:left="210" w:leftChars="100"/>
              <w:jc w:val="left"/>
              <w:rPr>
                <w:rFonts w:hint="eastAsia" w:cs="宋体" w:asciiTheme="minorEastAsia" w:hAnsiTheme="minorEastAsia" w:eastAsiaTheme="minorEastAsia"/>
                <w:b w:val="0"/>
                <w:bCs w:val="0"/>
                <w:color w:val="000000"/>
                <w:kern w:val="0"/>
                <w:sz w:val="18"/>
                <w:szCs w:val="18"/>
                <w:lang w:val="en-US" w:eastAsia="zh-CN"/>
              </w:rPr>
            </w:pPr>
            <w:r>
              <w:rPr>
                <w:rFonts w:hint="eastAsia" w:cs="宋体" w:asciiTheme="minorEastAsia" w:hAnsiTheme="minorEastAsia"/>
                <w:b w:val="0"/>
                <w:bCs w:val="0"/>
                <w:color w:val="000000"/>
                <w:kern w:val="0"/>
                <w:sz w:val="18"/>
                <w:szCs w:val="18"/>
                <w:lang w:val="en-US" w:eastAsia="zh-CN"/>
              </w:rPr>
              <w:t>1</w:t>
            </w:r>
          </w:p>
        </w:tc>
        <w:tc>
          <w:tcPr>
            <w:tcW w:w="1337"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1"/>
                <w:szCs w:val="21"/>
                <w:lang w:val="en-US" w:eastAsia="zh-CN"/>
              </w:rPr>
            </w:pPr>
          </w:p>
        </w:tc>
        <w:tc>
          <w:tcPr>
            <w:tcW w:w="1201"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spacing w:line="240" w:lineRule="auto"/>
              <w:ind w:left="210" w:leftChars="100"/>
              <w:jc w:val="left"/>
              <w:rPr>
                <w:b w:val="0"/>
                <w:bCs w:val="0"/>
                <w:sz w:val="18"/>
                <w:szCs w:val="18"/>
              </w:rPr>
            </w:pPr>
            <w:r>
              <w:rPr>
                <w:rFonts w:hint="eastAsia"/>
                <w:b w:val="0"/>
                <w:bCs w:val="0"/>
                <w:sz w:val="18"/>
                <w:szCs w:val="18"/>
              </w:rPr>
              <w:t>热重分析仪</w:t>
            </w:r>
          </w:p>
          <w:p>
            <w:pPr>
              <w:widowControl/>
              <w:spacing w:line="240" w:lineRule="auto"/>
              <w:ind w:left="210" w:leftChars="100"/>
              <w:jc w:val="left"/>
              <w:rPr>
                <w:rFonts w:hint="eastAsia" w:cs="宋体" w:asciiTheme="minorEastAsia" w:hAnsiTheme="minorEastAsia" w:eastAsiaTheme="minorEastAsia"/>
                <w:b w:val="0"/>
                <w:bCs w:val="0"/>
                <w:color w:val="000000"/>
                <w:kern w:val="0"/>
                <w:sz w:val="18"/>
                <w:szCs w:val="18"/>
              </w:rPr>
            </w:pPr>
          </w:p>
        </w:tc>
        <w:tc>
          <w:tcPr>
            <w:tcW w:w="3420" w:type="dxa"/>
            <w:shd w:val="clear" w:color="auto" w:fill="FFFFFF"/>
            <w:tcMar>
              <w:top w:w="0" w:type="dxa"/>
              <w:left w:w="108" w:type="dxa"/>
              <w:bottom w:w="0" w:type="dxa"/>
              <w:right w:w="108" w:type="dxa"/>
            </w:tcMar>
            <w:vAlign w:val="center"/>
          </w:tcPr>
          <w:p>
            <w:pPr>
              <w:pStyle w:val="14"/>
              <w:numPr>
                <w:ilvl w:val="0"/>
                <w:numId w:val="4"/>
              </w:numPr>
              <w:spacing w:line="240" w:lineRule="auto"/>
              <w:ind w:left="210" w:leftChars="100" w:firstLineChars="0"/>
              <w:jc w:val="left"/>
              <w:rPr>
                <w:rFonts w:ascii="宋体" w:hAnsi="宋体" w:cs="宋体"/>
                <w:b w:val="0"/>
                <w:bCs w:val="0"/>
                <w:sz w:val="18"/>
                <w:szCs w:val="18"/>
              </w:rPr>
            </w:pPr>
            <w:r>
              <w:rPr>
                <w:rFonts w:hint="eastAsia" w:ascii="宋体" w:hAnsi="宋体" w:cs="宋体"/>
                <w:b w:val="0"/>
                <w:bCs w:val="0"/>
                <w:sz w:val="18"/>
                <w:szCs w:val="18"/>
              </w:rPr>
              <w:t>适用于固体物质的热灼减率、水分、灰分、挥发分及有机质的全自动分析。可应用于固体燃料/废物的水分、灰分、挥发分分析，焚烧炉渣的热灼减率分析</w:t>
            </w:r>
            <w:r>
              <w:rPr>
                <w:rFonts w:hint="eastAsia" w:ascii="宋体" w:hAnsi="宋体" w:cs="宋体"/>
                <w:b w:val="0"/>
                <w:bCs w:val="0"/>
                <w:sz w:val="18"/>
                <w:szCs w:val="18"/>
                <w:lang w:eastAsia="zh-Hans"/>
              </w:rPr>
              <w:t>，有机质</w:t>
            </w:r>
            <w:r>
              <w:rPr>
                <w:rFonts w:hint="eastAsia" w:ascii="宋体" w:hAnsi="宋体" w:cs="宋体"/>
                <w:b w:val="0"/>
                <w:bCs w:val="0"/>
                <w:sz w:val="18"/>
                <w:szCs w:val="18"/>
              </w:rPr>
              <w:t>，污泥干燥的过程热重分析，飞灰/灰渣的含碳量分析等。</w:t>
            </w:r>
          </w:p>
          <w:p>
            <w:pPr>
              <w:pStyle w:val="14"/>
              <w:numPr>
                <w:ilvl w:val="0"/>
                <w:numId w:val="4"/>
              </w:numPr>
              <w:spacing w:line="240" w:lineRule="auto"/>
              <w:ind w:left="210" w:leftChars="100" w:firstLineChars="0"/>
              <w:jc w:val="left"/>
              <w:rPr>
                <w:rFonts w:ascii="宋体" w:hAnsi="宋体" w:cs="宋体"/>
                <w:b w:val="0"/>
                <w:bCs w:val="0"/>
                <w:sz w:val="18"/>
                <w:szCs w:val="18"/>
              </w:rPr>
            </w:pPr>
            <w:r>
              <w:rPr>
                <w:rFonts w:hint="eastAsia" w:ascii="宋体" w:hAnsi="宋体" w:cs="宋体"/>
                <w:b w:val="0"/>
                <w:bCs w:val="0"/>
                <w:sz w:val="18"/>
                <w:szCs w:val="18"/>
              </w:rPr>
              <w:t>满足HJ1024-2019固体废物热灼减率测定、H</w:t>
            </w:r>
            <w:r>
              <w:rPr>
                <w:rFonts w:ascii="宋体" w:hAnsi="宋体" w:cs="宋体"/>
                <w:b w:val="0"/>
                <w:bCs w:val="0"/>
                <w:sz w:val="18"/>
                <w:szCs w:val="18"/>
              </w:rPr>
              <w:t>J761-2015</w:t>
            </w:r>
            <w:r>
              <w:rPr>
                <w:rFonts w:hint="eastAsia" w:ascii="宋体" w:hAnsi="宋体" w:cs="宋体"/>
                <w:b w:val="0"/>
                <w:bCs w:val="0"/>
                <w:sz w:val="18"/>
                <w:szCs w:val="18"/>
              </w:rPr>
              <w:t>固体废物有机质测定</w:t>
            </w:r>
            <w:r>
              <w:rPr>
                <w:rFonts w:hint="eastAsia"/>
                <w:b w:val="0"/>
                <w:bCs w:val="0"/>
                <w:sz w:val="18"/>
                <w:szCs w:val="18"/>
              </w:rPr>
              <w:t>。</w:t>
            </w:r>
          </w:p>
          <w:p>
            <w:pPr>
              <w:pStyle w:val="14"/>
              <w:numPr>
                <w:ilvl w:val="0"/>
                <w:numId w:val="4"/>
              </w:numPr>
              <w:spacing w:line="240" w:lineRule="auto"/>
              <w:ind w:left="210" w:leftChars="100" w:firstLineChars="0"/>
              <w:jc w:val="left"/>
              <w:rPr>
                <w:rFonts w:ascii="宋体" w:hAnsi="宋体"/>
                <w:b w:val="0"/>
                <w:bCs w:val="0"/>
                <w:sz w:val="18"/>
                <w:szCs w:val="18"/>
              </w:rPr>
            </w:pPr>
            <w:r>
              <w:rPr>
                <w:rFonts w:hint="eastAsia" w:ascii="宋体" w:hAnsi="宋体"/>
                <w:b w:val="0"/>
                <w:bCs w:val="0"/>
                <w:sz w:val="18"/>
                <w:szCs w:val="18"/>
              </w:rPr>
              <w:t>试样个数：热灼减率、水分、灰分等项目一次性最少检测10个样品， 挥发分最少26个。</w:t>
            </w:r>
          </w:p>
          <w:p>
            <w:pPr>
              <w:pStyle w:val="14"/>
              <w:numPr>
                <w:ilvl w:val="0"/>
                <w:numId w:val="4"/>
              </w:numPr>
              <w:spacing w:line="240" w:lineRule="auto"/>
              <w:ind w:left="210" w:leftChars="100" w:firstLineChars="0"/>
              <w:jc w:val="left"/>
              <w:rPr>
                <w:rFonts w:ascii="宋体" w:hAnsi="宋体"/>
                <w:b w:val="0"/>
                <w:bCs w:val="0"/>
                <w:sz w:val="18"/>
                <w:szCs w:val="18"/>
              </w:rPr>
            </w:pPr>
            <w:r>
              <w:rPr>
                <w:rFonts w:hint="eastAsia" w:ascii="宋体" w:hAnsi="宋体"/>
                <w:b w:val="0"/>
                <w:bCs w:val="0"/>
                <w:sz w:val="18"/>
                <w:szCs w:val="18"/>
              </w:rPr>
              <w:t>炉温范围：室温~1000℃</w:t>
            </w:r>
          </w:p>
          <w:p>
            <w:pPr>
              <w:pStyle w:val="14"/>
              <w:numPr>
                <w:ilvl w:val="0"/>
                <w:numId w:val="4"/>
              </w:numPr>
              <w:spacing w:line="240" w:lineRule="auto"/>
              <w:ind w:left="210" w:leftChars="100" w:firstLineChars="0"/>
              <w:jc w:val="left"/>
              <w:rPr>
                <w:rFonts w:ascii="宋体" w:hAnsi="宋体"/>
                <w:b w:val="0"/>
                <w:bCs w:val="0"/>
                <w:sz w:val="18"/>
                <w:szCs w:val="18"/>
              </w:rPr>
            </w:pPr>
            <w:r>
              <w:rPr>
                <w:rFonts w:hint="eastAsia" w:ascii="宋体" w:hAnsi="宋体"/>
                <w:b w:val="0"/>
                <w:bCs w:val="0"/>
                <w:sz w:val="18"/>
                <w:szCs w:val="18"/>
              </w:rPr>
              <w:t>分析天平称量精度：0.0001g</w:t>
            </w:r>
          </w:p>
          <w:p>
            <w:pPr>
              <w:pStyle w:val="14"/>
              <w:numPr>
                <w:ilvl w:val="0"/>
                <w:numId w:val="4"/>
              </w:numPr>
              <w:spacing w:line="240" w:lineRule="auto"/>
              <w:ind w:left="210" w:leftChars="100" w:firstLineChars="0"/>
              <w:jc w:val="left"/>
              <w:rPr>
                <w:rFonts w:ascii="宋体" w:hAnsi="宋体"/>
                <w:b w:val="0"/>
                <w:bCs w:val="0"/>
                <w:sz w:val="18"/>
                <w:szCs w:val="18"/>
              </w:rPr>
            </w:pPr>
            <w:r>
              <w:rPr>
                <w:rFonts w:hint="eastAsia" w:ascii="宋体" w:hAnsi="宋体"/>
                <w:b w:val="0"/>
                <w:bCs w:val="0"/>
                <w:sz w:val="18"/>
                <w:szCs w:val="18"/>
              </w:rPr>
              <w:t>温度分辨率：</w:t>
            </w:r>
            <w:r>
              <w:rPr>
                <w:rFonts w:hint="eastAsia"/>
                <w:b w:val="0"/>
                <w:bCs w:val="0"/>
                <w:sz w:val="18"/>
                <w:szCs w:val="18"/>
              </w:rPr>
              <w:t>：</w:t>
            </w:r>
            <w:r>
              <w:rPr>
                <w:rFonts w:hint="eastAsia" w:ascii="宋体" w:hAnsi="宋体"/>
                <w:b w:val="0"/>
                <w:bCs w:val="0"/>
                <w:sz w:val="18"/>
                <w:szCs w:val="18"/>
              </w:rPr>
              <w:t>±</w:t>
            </w:r>
            <w:r>
              <w:rPr>
                <w:rFonts w:ascii="宋体" w:hAnsi="宋体"/>
                <w:b w:val="0"/>
                <w:bCs w:val="0"/>
                <w:sz w:val="18"/>
                <w:szCs w:val="18"/>
              </w:rPr>
              <w:t>0.l</w:t>
            </w:r>
            <w:r>
              <w:rPr>
                <w:rFonts w:hint="eastAsia" w:ascii="宋体" w:hAnsi="宋体"/>
                <w:b w:val="0"/>
                <w:bCs w:val="0"/>
                <w:sz w:val="18"/>
                <w:szCs w:val="18"/>
              </w:rPr>
              <w:t>℃</w:t>
            </w:r>
          </w:p>
          <w:p>
            <w:pPr>
              <w:pStyle w:val="14"/>
              <w:numPr>
                <w:ilvl w:val="0"/>
                <w:numId w:val="4"/>
              </w:numPr>
              <w:spacing w:line="240" w:lineRule="auto"/>
              <w:ind w:left="210" w:leftChars="100" w:firstLineChars="0"/>
              <w:jc w:val="left"/>
              <w:rPr>
                <w:rFonts w:ascii="宋体" w:hAnsi="宋体"/>
                <w:b w:val="0"/>
                <w:bCs w:val="0"/>
                <w:sz w:val="18"/>
                <w:szCs w:val="18"/>
              </w:rPr>
            </w:pPr>
            <w:r>
              <w:rPr>
                <w:rFonts w:hint="eastAsia" w:ascii="宋体" w:hAnsi="宋体"/>
                <w:b w:val="0"/>
                <w:bCs w:val="0"/>
                <w:sz w:val="18"/>
                <w:szCs w:val="18"/>
              </w:rPr>
              <w:t>动态基线漂移：</w:t>
            </w:r>
            <w:r>
              <w:rPr>
                <w:rFonts w:ascii="宋体" w:hAnsi="宋体"/>
                <w:b w:val="0"/>
                <w:bCs w:val="0"/>
                <w:sz w:val="18"/>
                <w:szCs w:val="18"/>
              </w:rPr>
              <w:t>&lt;50ug</w:t>
            </w:r>
          </w:p>
          <w:p>
            <w:pPr>
              <w:pStyle w:val="14"/>
              <w:numPr>
                <w:ilvl w:val="0"/>
                <w:numId w:val="4"/>
              </w:numPr>
              <w:spacing w:line="240" w:lineRule="auto"/>
              <w:ind w:left="210" w:leftChars="100" w:firstLineChars="0"/>
              <w:jc w:val="left"/>
              <w:rPr>
                <w:rFonts w:ascii="宋体" w:hAnsi="宋体"/>
                <w:b w:val="0"/>
                <w:bCs w:val="0"/>
                <w:sz w:val="18"/>
                <w:szCs w:val="18"/>
              </w:rPr>
            </w:pPr>
            <w:r>
              <w:rPr>
                <w:rFonts w:hint="eastAsia" w:ascii="宋体" w:hAnsi="宋体"/>
                <w:b w:val="0"/>
                <w:bCs w:val="0"/>
                <w:sz w:val="18"/>
                <w:szCs w:val="18"/>
              </w:rPr>
              <w:t>称重范围：0-1000mg；</w:t>
            </w:r>
          </w:p>
          <w:p>
            <w:pPr>
              <w:pStyle w:val="14"/>
              <w:numPr>
                <w:ilvl w:val="0"/>
                <w:numId w:val="4"/>
              </w:numPr>
              <w:spacing w:line="240" w:lineRule="auto"/>
              <w:ind w:left="210" w:leftChars="100" w:firstLineChars="0"/>
              <w:jc w:val="left"/>
              <w:rPr>
                <w:rFonts w:ascii="宋体" w:hAnsi="宋体"/>
                <w:b w:val="0"/>
                <w:bCs w:val="0"/>
                <w:sz w:val="18"/>
                <w:szCs w:val="18"/>
              </w:rPr>
            </w:pPr>
            <w:r>
              <w:rPr>
                <w:rFonts w:hint="eastAsia" w:ascii="宋体" w:hAnsi="宋体"/>
                <w:b w:val="0"/>
                <w:bCs w:val="0"/>
                <w:sz w:val="18"/>
                <w:szCs w:val="18"/>
              </w:rPr>
              <w:t>称重精度：0.01%；</w:t>
            </w:r>
          </w:p>
          <w:p>
            <w:pPr>
              <w:pStyle w:val="14"/>
              <w:numPr>
                <w:ilvl w:val="0"/>
                <w:numId w:val="4"/>
              </w:numPr>
              <w:spacing w:line="240" w:lineRule="auto"/>
              <w:ind w:left="210" w:leftChars="100" w:firstLineChars="0"/>
              <w:jc w:val="left"/>
              <w:rPr>
                <w:rFonts w:ascii="宋体" w:hAnsi="宋体"/>
                <w:b w:val="0"/>
                <w:bCs w:val="0"/>
                <w:sz w:val="18"/>
                <w:szCs w:val="18"/>
              </w:rPr>
            </w:pPr>
            <w:r>
              <w:rPr>
                <w:rFonts w:hint="eastAsia" w:ascii="宋体" w:hAnsi="宋体"/>
                <w:b w:val="0"/>
                <w:bCs w:val="0"/>
                <w:sz w:val="18"/>
                <w:szCs w:val="18"/>
              </w:rPr>
              <w:t>加热速率：0.01-100 ℃/min；</w:t>
            </w:r>
          </w:p>
          <w:p>
            <w:pPr>
              <w:widowControl/>
              <w:spacing w:line="240" w:lineRule="auto"/>
              <w:ind w:left="210" w:leftChars="100"/>
              <w:jc w:val="left"/>
              <w:rPr>
                <w:rFonts w:cs="宋体" w:asciiTheme="minorEastAsia" w:hAnsiTheme="minorEastAsia" w:eastAsiaTheme="minorEastAsia"/>
                <w:b w:val="0"/>
                <w:bCs w:val="0"/>
                <w:color w:val="000000"/>
                <w:kern w:val="0"/>
                <w:sz w:val="18"/>
                <w:szCs w:val="18"/>
              </w:rPr>
            </w:pPr>
            <w:r>
              <w:rPr>
                <w:rFonts w:hint="eastAsia" w:ascii="宋体" w:hAnsi="宋体"/>
                <w:b w:val="0"/>
                <w:bCs w:val="0"/>
                <w:sz w:val="18"/>
                <w:szCs w:val="18"/>
              </w:rPr>
              <w:t>恒温温度准确度：±1 ℃；</w:t>
            </w:r>
          </w:p>
        </w:tc>
        <w:tc>
          <w:tcPr>
            <w:tcW w:w="653" w:type="dxa"/>
            <w:shd w:val="clear" w:color="auto" w:fill="FFFFFF"/>
            <w:tcMar>
              <w:top w:w="0" w:type="dxa"/>
              <w:left w:w="108" w:type="dxa"/>
              <w:bottom w:w="0" w:type="dxa"/>
              <w:right w:w="108" w:type="dxa"/>
            </w:tcMar>
            <w:vAlign w:val="center"/>
          </w:tcPr>
          <w:p>
            <w:pPr>
              <w:widowControl/>
              <w:spacing w:line="240" w:lineRule="auto"/>
              <w:ind w:left="210" w:leftChars="100"/>
              <w:jc w:val="left"/>
              <w:rPr>
                <w:rFonts w:hint="eastAsia" w:cs="宋体" w:asciiTheme="minorEastAsia" w:hAnsiTheme="minorEastAsia" w:eastAsiaTheme="minorEastAsia"/>
                <w:b w:val="0"/>
                <w:bCs w:val="0"/>
                <w:color w:val="000000"/>
                <w:kern w:val="0"/>
                <w:sz w:val="18"/>
                <w:szCs w:val="18"/>
                <w:lang w:val="en-US" w:eastAsia="zh-CN"/>
              </w:rPr>
            </w:pPr>
            <w:r>
              <w:rPr>
                <w:rFonts w:hint="eastAsia" w:cs="宋体" w:asciiTheme="minorEastAsia" w:hAnsiTheme="minorEastAsia"/>
                <w:b w:val="0"/>
                <w:bCs w:val="0"/>
                <w:color w:val="000000"/>
                <w:kern w:val="0"/>
                <w:sz w:val="18"/>
                <w:szCs w:val="18"/>
                <w:lang w:val="en-US" w:eastAsia="zh-CN"/>
              </w:rPr>
              <w:t>台</w:t>
            </w:r>
          </w:p>
        </w:tc>
        <w:tc>
          <w:tcPr>
            <w:tcW w:w="800" w:type="dxa"/>
            <w:shd w:val="clear" w:color="auto" w:fill="FFFFFF"/>
            <w:tcMar>
              <w:top w:w="0" w:type="dxa"/>
              <w:left w:w="108" w:type="dxa"/>
              <w:bottom w:w="0" w:type="dxa"/>
              <w:right w:w="108" w:type="dxa"/>
            </w:tcMar>
            <w:vAlign w:val="center"/>
          </w:tcPr>
          <w:p>
            <w:pPr>
              <w:widowControl/>
              <w:spacing w:line="240" w:lineRule="auto"/>
              <w:ind w:left="210" w:leftChars="100"/>
              <w:jc w:val="left"/>
              <w:rPr>
                <w:rFonts w:hint="eastAsia" w:cs="宋体" w:asciiTheme="minorEastAsia" w:hAnsiTheme="minorEastAsia" w:eastAsiaTheme="minorEastAsia"/>
                <w:b w:val="0"/>
                <w:bCs w:val="0"/>
                <w:color w:val="000000"/>
                <w:kern w:val="0"/>
                <w:sz w:val="18"/>
                <w:szCs w:val="18"/>
                <w:lang w:val="en-US" w:eastAsia="zh-CN"/>
              </w:rPr>
            </w:pPr>
            <w:r>
              <w:rPr>
                <w:rFonts w:hint="eastAsia" w:cs="宋体" w:asciiTheme="minorEastAsia" w:hAnsiTheme="minorEastAsia"/>
                <w:b w:val="0"/>
                <w:bCs w:val="0"/>
                <w:color w:val="000000"/>
                <w:kern w:val="0"/>
                <w:sz w:val="18"/>
                <w:szCs w:val="18"/>
                <w:lang w:val="en-US" w:eastAsia="zh-CN"/>
              </w:rPr>
              <w:t>1</w:t>
            </w:r>
          </w:p>
        </w:tc>
        <w:tc>
          <w:tcPr>
            <w:tcW w:w="1337"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c>
          <w:tcPr>
            <w:tcW w:w="1201"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pStyle w:val="14"/>
              <w:spacing w:line="240" w:lineRule="auto"/>
              <w:ind w:left="210" w:leftChars="100" w:firstLine="0" w:firstLineChars="0"/>
              <w:jc w:val="left"/>
              <w:rPr>
                <w:b w:val="0"/>
                <w:bCs w:val="0"/>
                <w:sz w:val="18"/>
                <w:szCs w:val="18"/>
              </w:rPr>
            </w:pPr>
            <w:r>
              <w:rPr>
                <w:rFonts w:hint="eastAsia"/>
                <w:b w:val="0"/>
                <w:bCs w:val="0"/>
                <w:sz w:val="18"/>
                <w:szCs w:val="18"/>
              </w:rPr>
              <w:t>批量称量仪</w:t>
            </w:r>
          </w:p>
          <w:p>
            <w:pPr>
              <w:widowControl/>
              <w:spacing w:line="240" w:lineRule="auto"/>
              <w:ind w:left="210" w:leftChars="100"/>
              <w:jc w:val="left"/>
              <w:rPr>
                <w:rFonts w:cs="宋体" w:asciiTheme="minorEastAsia" w:hAnsiTheme="minorEastAsia" w:eastAsiaTheme="minorEastAsia"/>
                <w:b w:val="0"/>
                <w:bCs w:val="0"/>
                <w:color w:val="000000"/>
                <w:kern w:val="0"/>
                <w:sz w:val="18"/>
                <w:szCs w:val="18"/>
              </w:rPr>
            </w:pPr>
          </w:p>
        </w:tc>
        <w:tc>
          <w:tcPr>
            <w:tcW w:w="3420" w:type="dxa"/>
            <w:shd w:val="clear" w:color="auto" w:fill="FFFFFF"/>
            <w:tcMar>
              <w:top w:w="0" w:type="dxa"/>
              <w:left w:w="108" w:type="dxa"/>
              <w:bottom w:w="0" w:type="dxa"/>
              <w:right w:w="108" w:type="dxa"/>
            </w:tcMar>
            <w:vAlign w:val="center"/>
          </w:tcPr>
          <w:p>
            <w:pPr>
              <w:pStyle w:val="14"/>
              <w:numPr>
                <w:ilvl w:val="0"/>
                <w:numId w:val="5"/>
              </w:numPr>
              <w:spacing w:line="240" w:lineRule="auto"/>
              <w:ind w:left="210" w:leftChars="100" w:firstLineChars="0"/>
              <w:jc w:val="left"/>
              <w:rPr>
                <w:rFonts w:ascii="宋体" w:hAnsi="宋体"/>
                <w:b w:val="0"/>
                <w:bCs w:val="0"/>
                <w:sz w:val="18"/>
                <w:szCs w:val="18"/>
              </w:rPr>
            </w:pPr>
            <w:r>
              <w:rPr>
                <w:rFonts w:hint="eastAsia" w:ascii="宋体" w:hAnsi="宋体"/>
                <w:b w:val="0"/>
                <w:bCs w:val="0"/>
                <w:sz w:val="18"/>
                <w:szCs w:val="18"/>
              </w:rPr>
              <w:t>种类：一次性至少自动称量12个样品。</w:t>
            </w:r>
          </w:p>
          <w:p>
            <w:pPr>
              <w:pStyle w:val="14"/>
              <w:numPr>
                <w:ilvl w:val="0"/>
                <w:numId w:val="5"/>
              </w:numPr>
              <w:spacing w:line="240" w:lineRule="auto"/>
              <w:ind w:left="210" w:leftChars="100" w:firstLineChars="0"/>
              <w:jc w:val="left"/>
              <w:rPr>
                <w:rFonts w:ascii="宋体" w:hAnsi="宋体"/>
                <w:b w:val="0"/>
                <w:bCs w:val="0"/>
                <w:sz w:val="18"/>
                <w:szCs w:val="18"/>
              </w:rPr>
            </w:pPr>
            <w:r>
              <w:rPr>
                <w:rFonts w:hint="eastAsia" w:ascii="宋体" w:hAnsi="宋体"/>
                <w:b w:val="0"/>
                <w:bCs w:val="0"/>
                <w:sz w:val="18"/>
                <w:szCs w:val="18"/>
              </w:rPr>
              <w:t>高精度电子天平，精确度要求0.00</w:t>
            </w:r>
            <w:r>
              <w:rPr>
                <w:rFonts w:ascii="宋体" w:hAnsi="宋体"/>
                <w:b w:val="0"/>
                <w:bCs w:val="0"/>
                <w:sz w:val="18"/>
                <w:szCs w:val="18"/>
              </w:rPr>
              <w:t>0</w:t>
            </w:r>
            <w:r>
              <w:rPr>
                <w:rFonts w:hint="eastAsia" w:ascii="宋体" w:hAnsi="宋体"/>
                <w:b w:val="0"/>
                <w:bCs w:val="0"/>
                <w:sz w:val="18"/>
                <w:szCs w:val="18"/>
              </w:rPr>
              <w:t>1g。</w:t>
            </w:r>
          </w:p>
          <w:p>
            <w:pPr>
              <w:pStyle w:val="14"/>
              <w:numPr>
                <w:ilvl w:val="0"/>
                <w:numId w:val="5"/>
              </w:numPr>
              <w:spacing w:line="240" w:lineRule="auto"/>
              <w:ind w:left="210" w:leftChars="100" w:firstLineChars="0"/>
              <w:jc w:val="left"/>
              <w:rPr>
                <w:rFonts w:ascii="宋体" w:hAnsi="宋体"/>
                <w:b w:val="0"/>
                <w:bCs w:val="0"/>
                <w:sz w:val="18"/>
                <w:szCs w:val="18"/>
              </w:rPr>
            </w:pPr>
            <w:r>
              <w:rPr>
                <w:rFonts w:hint="eastAsia" w:ascii="宋体" w:hAnsi="宋体"/>
                <w:b w:val="0"/>
                <w:bCs w:val="0"/>
                <w:sz w:val="18"/>
                <w:szCs w:val="18"/>
              </w:rPr>
              <w:t>密闭称量空间，使称量系统与外界完全隔离。</w:t>
            </w:r>
          </w:p>
          <w:p>
            <w:pPr>
              <w:widowControl/>
              <w:spacing w:line="240" w:lineRule="auto"/>
              <w:ind w:left="210" w:leftChars="100"/>
              <w:jc w:val="left"/>
              <w:rPr>
                <w:rFonts w:cs="宋体" w:asciiTheme="minorEastAsia" w:hAnsiTheme="minorEastAsia" w:eastAsiaTheme="minorEastAsia"/>
                <w:b w:val="0"/>
                <w:bCs w:val="0"/>
                <w:color w:val="000000"/>
                <w:kern w:val="0"/>
                <w:sz w:val="18"/>
                <w:szCs w:val="18"/>
              </w:rPr>
            </w:pPr>
          </w:p>
        </w:tc>
        <w:tc>
          <w:tcPr>
            <w:tcW w:w="653" w:type="dxa"/>
            <w:shd w:val="clear" w:color="auto" w:fill="FFFFFF"/>
            <w:tcMar>
              <w:top w:w="0" w:type="dxa"/>
              <w:left w:w="108" w:type="dxa"/>
              <w:bottom w:w="0" w:type="dxa"/>
              <w:right w:w="108" w:type="dxa"/>
            </w:tcMar>
            <w:vAlign w:val="center"/>
          </w:tcPr>
          <w:p>
            <w:pPr>
              <w:widowControl/>
              <w:spacing w:line="240" w:lineRule="auto"/>
              <w:ind w:left="210" w:leftChars="100"/>
              <w:jc w:val="left"/>
              <w:rPr>
                <w:rFonts w:hint="eastAsia" w:cs="宋体" w:asciiTheme="minorEastAsia" w:hAnsiTheme="minorEastAsia" w:eastAsiaTheme="minorEastAsia"/>
                <w:b w:val="0"/>
                <w:bCs w:val="0"/>
                <w:color w:val="000000"/>
                <w:kern w:val="0"/>
                <w:sz w:val="18"/>
                <w:szCs w:val="18"/>
                <w:lang w:val="en-US" w:eastAsia="zh-CN"/>
              </w:rPr>
            </w:pPr>
            <w:r>
              <w:rPr>
                <w:rFonts w:hint="eastAsia" w:cs="宋体" w:asciiTheme="minorEastAsia" w:hAnsiTheme="minorEastAsia"/>
                <w:b w:val="0"/>
                <w:bCs w:val="0"/>
                <w:color w:val="000000"/>
                <w:kern w:val="0"/>
                <w:sz w:val="18"/>
                <w:szCs w:val="18"/>
                <w:lang w:val="en-US" w:eastAsia="zh-CN"/>
              </w:rPr>
              <w:t>台</w:t>
            </w:r>
          </w:p>
        </w:tc>
        <w:tc>
          <w:tcPr>
            <w:tcW w:w="800" w:type="dxa"/>
            <w:shd w:val="clear" w:color="auto" w:fill="FFFFFF"/>
            <w:tcMar>
              <w:top w:w="0" w:type="dxa"/>
              <w:left w:w="108" w:type="dxa"/>
              <w:bottom w:w="0" w:type="dxa"/>
              <w:right w:w="108" w:type="dxa"/>
            </w:tcMar>
            <w:vAlign w:val="center"/>
          </w:tcPr>
          <w:p>
            <w:pPr>
              <w:widowControl/>
              <w:spacing w:line="240" w:lineRule="auto"/>
              <w:ind w:left="210" w:leftChars="100"/>
              <w:jc w:val="left"/>
              <w:rPr>
                <w:rFonts w:hint="eastAsia" w:cs="宋体" w:asciiTheme="minorEastAsia" w:hAnsiTheme="minorEastAsia" w:eastAsiaTheme="minorEastAsia"/>
                <w:b w:val="0"/>
                <w:bCs w:val="0"/>
                <w:color w:val="000000"/>
                <w:kern w:val="0"/>
                <w:sz w:val="18"/>
                <w:szCs w:val="18"/>
                <w:lang w:val="en-US" w:eastAsia="zh-CN"/>
              </w:rPr>
            </w:pPr>
            <w:r>
              <w:rPr>
                <w:rFonts w:hint="eastAsia" w:cs="宋体" w:asciiTheme="minorEastAsia" w:hAnsiTheme="minorEastAsia"/>
                <w:b w:val="0"/>
                <w:bCs w:val="0"/>
                <w:color w:val="000000"/>
                <w:kern w:val="0"/>
                <w:sz w:val="18"/>
                <w:szCs w:val="18"/>
                <w:lang w:val="en-US" w:eastAsia="zh-CN"/>
              </w:rPr>
              <w:t>1</w:t>
            </w:r>
          </w:p>
        </w:tc>
        <w:tc>
          <w:tcPr>
            <w:tcW w:w="1337"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c>
          <w:tcPr>
            <w:tcW w:w="1201" w:type="dxa"/>
            <w:shd w:val="clear" w:color="auto" w:fill="FFFFFF"/>
            <w:tcMar>
              <w:top w:w="0" w:type="dxa"/>
              <w:left w:w="108" w:type="dxa"/>
              <w:bottom w:w="0" w:type="dxa"/>
              <w:right w:w="108" w:type="dxa"/>
            </w:tcMar>
            <w:vAlign w:val="center"/>
          </w:tcPr>
          <w:p>
            <w:pPr>
              <w:widowControl/>
              <w:spacing w:line="360" w:lineRule="auto"/>
              <w:jc w:val="left"/>
              <w:rPr>
                <w:rFonts w:hint="eastAsia" w:cs="宋体" w:asciiTheme="minorEastAsia" w:hAnsiTheme="minorEastAsia"/>
                <w:color w:val="000000"/>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p>
        </w:tc>
        <w:tc>
          <w:tcPr>
            <w:tcW w:w="3420"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653"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800"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337"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201"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p>
        </w:tc>
        <w:tc>
          <w:tcPr>
            <w:tcW w:w="3420"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653"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800"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337"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201"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598" w:type="dxa"/>
            <w:shd w:val="clear" w:color="auto" w:fill="FFFFFF"/>
            <w:tcMar>
              <w:top w:w="0" w:type="dxa"/>
              <w:left w:w="108" w:type="dxa"/>
              <w:bottom w:w="0" w:type="dxa"/>
              <w:right w:w="108" w:type="dxa"/>
            </w:tcMar>
            <w:vAlign w:val="center"/>
          </w:tcPr>
          <w:p>
            <w:pPr>
              <w:widowControl/>
              <w:spacing w:line="360" w:lineRule="auto"/>
              <w:jc w:val="center"/>
              <w:rPr>
                <w:rFonts w:cs="宋体" w:asciiTheme="minorEastAsia" w:hAnsiTheme="minorEastAsia" w:eastAsiaTheme="minorEastAsia"/>
                <w:color w:val="000000"/>
                <w:kern w:val="0"/>
                <w:sz w:val="24"/>
                <w:szCs w:val="24"/>
              </w:rPr>
            </w:pPr>
          </w:p>
        </w:tc>
        <w:tc>
          <w:tcPr>
            <w:tcW w:w="3420"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653"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800"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337"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c>
          <w:tcPr>
            <w:tcW w:w="1201" w:type="dxa"/>
            <w:shd w:val="clear" w:color="auto" w:fill="FFFFFF"/>
            <w:tcMar>
              <w:top w:w="0" w:type="dxa"/>
              <w:left w:w="108" w:type="dxa"/>
              <w:bottom w:w="0" w:type="dxa"/>
              <w:right w:w="108" w:type="dxa"/>
            </w:tcMar>
            <w:vAlign w:val="center"/>
          </w:tcPr>
          <w:p>
            <w:pPr>
              <w:widowControl/>
              <w:spacing w:line="360" w:lineRule="auto"/>
              <w:jc w:val="left"/>
              <w:rPr>
                <w:rFonts w:cs="宋体" w:asciiTheme="minorEastAsia" w:hAnsiTheme="minorEastAsia" w:eastAsia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hint="eastAsia" w:cs="宋体" w:asciiTheme="minorEastAsia" w:hAnsiTheme="minorEastAsia"/>
                <w:color w:val="000000"/>
                <w:kern w:val="0"/>
                <w:sz w:val="24"/>
                <w:szCs w:val="24"/>
                <w:lang w:eastAsia="zh-CN"/>
              </w:rPr>
            </w:pPr>
            <w:r>
              <w:rPr>
                <w:rFonts w:hint="eastAsia" w:cs="宋体" w:asciiTheme="minorEastAsia" w:hAnsiTheme="minorEastAsia" w:eastAsiaTheme="minorEastAsia"/>
                <w:b/>
                <w:color w:val="000000"/>
                <w:kern w:val="0"/>
                <w:sz w:val="24"/>
                <w:szCs w:val="24"/>
              </w:rPr>
              <w:t>合计总金额</w:t>
            </w:r>
            <w:r>
              <w:rPr>
                <w:rFonts w:hint="eastAsia" w:cs="宋体" w:asciiTheme="minorEastAsia" w:hAnsiTheme="minorEastAsia"/>
                <w:color w:val="000000"/>
                <w:kern w:val="0"/>
                <w:sz w:val="24"/>
                <w:szCs w:val="24"/>
                <w:lang w:eastAsia="zh-CN"/>
              </w:rPr>
              <w:t>（注明税率）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3"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b/>
                <w:color w:val="000000"/>
                <w:kern w:val="0"/>
                <w:sz w:val="24"/>
                <w:szCs w:val="24"/>
              </w:rPr>
              <w:t>总工期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6"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center"/>
              <w:rPr>
                <w:rFonts w:hint="eastAsia"/>
                <w:sz w:val="24"/>
              </w:rPr>
            </w:pPr>
            <w:r>
              <w:rPr>
                <w:rFonts w:hint="eastAsia" w:cs="宋体" w:asciiTheme="minorEastAsia" w:hAnsiTheme="minorEastAsia" w:eastAsiaTheme="minorEastAsia"/>
                <w:b/>
                <w:color w:val="000000"/>
                <w:kern w:val="0"/>
                <w:sz w:val="24"/>
                <w:szCs w:val="24"/>
              </w:rPr>
              <w:t>付款方式</w:t>
            </w:r>
            <w:r>
              <w:rPr>
                <w:rFonts w:hint="eastAsia" w:cs="宋体" w:asciiTheme="minorEastAsia" w:hAnsiTheme="minorEastAsia"/>
                <w:b/>
                <w:color w:val="000000"/>
                <w:kern w:val="0"/>
                <w:sz w:val="24"/>
                <w:szCs w:val="24"/>
                <w:lang w:val="en-US" w:eastAsia="zh-CN"/>
              </w:rPr>
              <w:t>:</w:t>
            </w:r>
            <w:r>
              <w:rPr>
                <w:rFonts w:hint="eastAsia"/>
                <w:sz w:val="24"/>
              </w:rPr>
              <w:t>合同签订后5日内支付首付款，为总价款50</w:t>
            </w:r>
            <w:r>
              <w:rPr>
                <w:sz w:val="24"/>
              </w:rPr>
              <w:t>%</w:t>
            </w:r>
            <w:r>
              <w:rPr>
                <w:rFonts w:hint="eastAsia"/>
                <w:sz w:val="24"/>
              </w:rPr>
              <w:t>，（其中总价款的</w:t>
            </w:r>
            <w:r>
              <w:rPr>
                <w:sz w:val="24"/>
              </w:rPr>
              <w:t>20%</w:t>
            </w:r>
            <w:r>
              <w:rPr>
                <w:rFonts w:hint="eastAsia"/>
                <w:sz w:val="24"/>
              </w:rPr>
              <w:t>为合同定金），设备到货验收后支付50%。</w:t>
            </w:r>
            <w:r>
              <w:rPr>
                <w:rFonts w:hint="eastAsia"/>
                <w:sz w:val="24"/>
                <w:lang w:val="en-US" w:eastAsia="zh-CN"/>
              </w:rPr>
              <w:t>总货款不低于50%银行承兑。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9"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r>
              <w:rPr>
                <w:rFonts w:hint="eastAsia" w:cs="宋体" w:asciiTheme="minorEastAsia" w:hAnsiTheme="minorEastAsia"/>
                <w:b/>
                <w:color w:val="000000"/>
                <w:kern w:val="0"/>
                <w:sz w:val="24"/>
                <w:szCs w:val="24"/>
                <w:lang w:eastAsia="zh-CN"/>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trPr>
        <w:tc>
          <w:tcPr>
            <w:tcW w:w="9009" w:type="dxa"/>
            <w:gridSpan w:val="6"/>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color w:val="000000"/>
                <w:kern w:val="0"/>
                <w:sz w:val="24"/>
                <w:szCs w:val="24"/>
              </w:rPr>
            </w:pPr>
            <w:r>
              <w:rPr>
                <w:rFonts w:hint="eastAsia" w:cs="宋体" w:asciiTheme="minorEastAsia" w:hAnsiTheme="minorEastAsia"/>
                <w:b/>
                <w:color w:val="000000"/>
                <w:kern w:val="0"/>
                <w:sz w:val="24"/>
                <w:szCs w:val="24"/>
                <w:lang w:eastAsia="zh-CN"/>
              </w:rPr>
              <w:t>售后情况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974" w:hRule="atLeast"/>
        </w:trPr>
        <w:tc>
          <w:tcPr>
            <w:tcW w:w="1598" w:type="dxa"/>
            <w:shd w:val="clear" w:color="auto" w:fill="FFFFFF"/>
            <w:tcMar>
              <w:top w:w="0" w:type="dxa"/>
              <w:left w:w="108" w:type="dxa"/>
              <w:bottom w:w="0" w:type="dxa"/>
              <w:right w:w="108" w:type="dxa"/>
            </w:tcMar>
            <w:vAlign w:val="center"/>
          </w:tcPr>
          <w:p>
            <w:pPr>
              <w:widowControl/>
              <w:spacing w:line="285" w:lineRule="atLeast"/>
              <w:jc w:val="left"/>
              <w:rPr>
                <w:rFonts w:cs="宋体" w:asciiTheme="minorEastAsia" w:hAnsiTheme="minorEastAsia" w:eastAsiaTheme="minorEastAsia"/>
                <w:b/>
                <w:color w:val="FF0000"/>
                <w:kern w:val="0"/>
                <w:sz w:val="24"/>
                <w:szCs w:val="24"/>
              </w:rPr>
            </w:pPr>
            <w:r>
              <w:rPr>
                <w:rFonts w:hint="eastAsia" w:cs="宋体" w:asciiTheme="minorEastAsia" w:hAnsiTheme="minorEastAsia" w:eastAsiaTheme="minorEastAsia"/>
                <w:b/>
                <w:color w:val="FF0000"/>
                <w:kern w:val="0"/>
                <w:sz w:val="24"/>
                <w:szCs w:val="24"/>
              </w:rPr>
              <w:t>其他要求</w:t>
            </w:r>
          </w:p>
        </w:tc>
        <w:tc>
          <w:tcPr>
            <w:tcW w:w="7411" w:type="dxa"/>
            <w:gridSpan w:val="5"/>
            <w:shd w:val="clear" w:color="auto" w:fill="FFFFFF"/>
            <w:tcMar>
              <w:top w:w="0" w:type="dxa"/>
              <w:left w:w="108" w:type="dxa"/>
              <w:bottom w:w="0" w:type="dxa"/>
              <w:right w:w="108" w:type="dxa"/>
            </w:tcMar>
            <w:vAlign w:val="center"/>
          </w:tcPr>
          <w:p>
            <w:pPr>
              <w:widowControl/>
              <w:jc w:val="left"/>
              <w:rPr>
                <w:rFonts w:hint="eastAsia"/>
                <w:color w:val="FF0000"/>
              </w:rPr>
            </w:pPr>
            <w:r>
              <w:rPr>
                <w:rFonts w:hint="eastAsia"/>
                <w:color w:val="FF0000"/>
              </w:rPr>
              <w:t>1、此报价包含13%税点，如其他情况注明。</w:t>
            </w:r>
          </w:p>
          <w:p>
            <w:pPr>
              <w:widowControl/>
              <w:shd w:val="clear" w:color="auto" w:fill="FFFFFF"/>
              <w:spacing w:after="120" w:line="362" w:lineRule="atLeast"/>
              <w:rPr>
                <w:color w:val="FF0000"/>
              </w:rPr>
            </w:pPr>
            <w:r>
              <w:rPr>
                <w:rFonts w:hint="eastAsia"/>
                <w:color w:val="FF0000"/>
              </w:rPr>
              <w:t>2、本页必须加盖公章。</w:t>
            </w:r>
          </w:p>
          <w:p>
            <w:pPr>
              <w:widowControl/>
              <w:shd w:val="clear" w:color="auto" w:fill="FFFFFF"/>
              <w:spacing w:after="120" w:line="362" w:lineRule="atLeast"/>
              <w:rPr>
                <w:rFonts w:hint="eastAsia"/>
                <w:color w:val="FF0000"/>
              </w:rPr>
            </w:pPr>
            <w:r>
              <w:rPr>
                <w:rFonts w:hint="eastAsia"/>
                <w:color w:val="FF0000"/>
              </w:rPr>
              <w:t>3、此报价包含</w:t>
            </w:r>
            <w:r>
              <w:rPr>
                <w:color w:val="FF0000"/>
              </w:rPr>
              <w:t>1</w:t>
            </w:r>
            <w:r>
              <w:rPr>
                <w:rFonts w:hint="eastAsia"/>
                <w:color w:val="FF0000"/>
              </w:rPr>
              <w:t>3</w:t>
            </w:r>
            <w:r>
              <w:rPr>
                <w:color w:val="FF0000"/>
              </w:rPr>
              <w:t>%</w:t>
            </w:r>
            <w:r>
              <w:rPr>
                <w:rFonts w:hint="eastAsia"/>
                <w:color w:val="FF0000"/>
              </w:rPr>
              <w:t>增值税发票和运费等。</w:t>
            </w:r>
          </w:p>
          <w:p>
            <w:pPr>
              <w:widowControl/>
              <w:shd w:val="clear" w:color="auto" w:fill="FFFFFF"/>
              <w:spacing w:after="120" w:line="362" w:lineRule="atLeast"/>
              <w:rPr>
                <w:color w:val="FF0000"/>
              </w:rPr>
            </w:pPr>
            <w:r>
              <w:rPr>
                <w:rFonts w:hint="eastAsia"/>
                <w:color w:val="FF0000"/>
              </w:rPr>
              <w:t>4、</w:t>
            </w:r>
            <w:r>
              <w:rPr>
                <w:rFonts w:hint="eastAsia"/>
                <w:color w:val="FF0000"/>
                <w:lang w:val="en-US" w:eastAsia="zh-CN"/>
              </w:rPr>
              <w:t>供货周期7</w:t>
            </w:r>
            <w:r>
              <w:rPr>
                <w:rFonts w:hint="eastAsia"/>
                <w:color w:val="FF0000"/>
              </w:rPr>
              <w:t>天，如不能响应，请注明。</w:t>
            </w:r>
          </w:p>
          <w:p>
            <w:pPr>
              <w:widowControl/>
              <w:shd w:val="clear" w:color="auto" w:fill="FFFFFF"/>
              <w:spacing w:after="120" w:line="362" w:lineRule="atLeast"/>
              <w:rPr>
                <w:rFonts w:hint="eastAsia" w:eastAsiaTheme="minorEastAsia"/>
                <w:color w:val="FF0000"/>
                <w:lang w:val="en-US" w:eastAsia="zh-CN"/>
              </w:rPr>
            </w:pPr>
            <w:r>
              <w:rPr>
                <w:rFonts w:hint="eastAsia"/>
                <w:color w:val="FF0000"/>
              </w:rPr>
              <w:t>5、请随标书提供营业执照</w:t>
            </w:r>
            <w:r>
              <w:rPr>
                <w:rFonts w:hint="eastAsia"/>
                <w:color w:val="FF0000"/>
                <w:lang w:eastAsia="zh-CN"/>
              </w:rPr>
              <w:t>。</w:t>
            </w:r>
          </w:p>
          <w:p>
            <w:pPr>
              <w:widowControl/>
              <w:shd w:val="clear" w:color="auto" w:fill="FFFFFF"/>
              <w:spacing w:after="120" w:line="362" w:lineRule="atLeast"/>
              <w:rPr>
                <w:rFonts w:hint="default" w:eastAsiaTheme="majorEastAsia"/>
                <w:color w:val="FF0000"/>
                <w:lang w:val="en-US" w:eastAsia="zh-CN"/>
              </w:rPr>
            </w:pPr>
            <w:r>
              <w:rPr>
                <w:rFonts w:hint="eastAsia" w:asciiTheme="minorHAnsi" w:hAnsiTheme="minorHAnsi" w:eastAsiaTheme="minorEastAsia" w:cstheme="minorBidi"/>
                <w:b w:val="0"/>
                <w:bCs w:val="0"/>
                <w:color w:val="FF0000"/>
                <w:kern w:val="2"/>
                <w:sz w:val="21"/>
                <w:szCs w:val="22"/>
                <w:lang w:val="en-US" w:eastAsia="zh-CN" w:bidi="ar-SA"/>
              </w:rPr>
              <w:t>6、</w:t>
            </w:r>
            <w:r>
              <w:rPr>
                <w:rFonts w:hint="eastAsia" w:asciiTheme="minorHAnsi" w:hAnsiTheme="minorHAnsi" w:eastAsiaTheme="minorEastAsia" w:cstheme="minorBidi"/>
                <w:b w:val="0"/>
                <w:bCs w:val="0"/>
                <w:color w:val="FF0000"/>
                <w:kern w:val="2"/>
                <w:sz w:val="21"/>
                <w:szCs w:val="22"/>
                <w:lang w:val="en-US" w:eastAsia="zh-CN" w:bidi="ar-SA"/>
              </w:rPr>
              <w:t>随标书注明</w:t>
            </w:r>
            <w:r>
              <w:rPr>
                <w:rFonts w:hint="eastAsia" w:cstheme="minorBidi"/>
                <w:b w:val="0"/>
                <w:bCs w:val="0"/>
                <w:color w:val="FF0000"/>
                <w:kern w:val="2"/>
                <w:sz w:val="21"/>
                <w:szCs w:val="22"/>
                <w:lang w:val="en-US" w:eastAsia="zh-CN" w:bidi="ar-SA"/>
              </w:rPr>
              <w:t>产品</w:t>
            </w:r>
            <w:r>
              <w:rPr>
                <w:rFonts w:hint="eastAsia" w:asciiTheme="minorHAnsi" w:hAnsiTheme="minorHAnsi" w:eastAsiaTheme="minorEastAsia" w:cstheme="minorBidi"/>
                <w:b w:val="0"/>
                <w:bCs w:val="0"/>
                <w:color w:val="FF0000"/>
                <w:kern w:val="2"/>
                <w:sz w:val="21"/>
                <w:szCs w:val="22"/>
                <w:lang w:val="en-US" w:eastAsia="zh-CN" w:bidi="ar-SA"/>
              </w:rPr>
              <w:t>品牌</w:t>
            </w:r>
            <w:r>
              <w:rPr>
                <w:rFonts w:hint="eastAsia" w:cstheme="minorBidi"/>
                <w:b w:val="0"/>
                <w:bCs w:val="0"/>
                <w:color w:val="FF0000"/>
                <w:kern w:val="2"/>
                <w:sz w:val="21"/>
                <w:szCs w:val="22"/>
                <w:lang w:val="en-US" w:eastAsia="zh-CN" w:bidi="ar-SA"/>
              </w:rPr>
              <w:t>及</w:t>
            </w:r>
            <w:r>
              <w:rPr>
                <w:rFonts w:hint="eastAsia" w:asciiTheme="minorHAnsi" w:hAnsiTheme="minorHAnsi" w:eastAsiaTheme="minorEastAsia" w:cstheme="minorBidi"/>
                <w:b w:val="0"/>
                <w:bCs w:val="0"/>
                <w:color w:val="FF0000"/>
                <w:kern w:val="2"/>
                <w:sz w:val="21"/>
                <w:szCs w:val="22"/>
                <w:lang w:val="en-US" w:eastAsia="zh-CN" w:bidi="ar-SA"/>
              </w:rPr>
              <w:t>型号</w:t>
            </w:r>
            <w:r>
              <w:rPr>
                <w:rFonts w:hint="eastAsia" w:cstheme="minorBidi"/>
                <w:b w:val="0"/>
                <w:bCs w:val="0"/>
                <w:color w:val="FF0000"/>
                <w:kern w:val="2"/>
                <w:sz w:val="21"/>
                <w:szCs w:val="22"/>
                <w:lang w:val="en-US" w:eastAsia="zh-CN" w:bidi="ar-SA"/>
              </w:rPr>
              <w:t>。</w:t>
            </w:r>
          </w:p>
        </w:tc>
      </w:tr>
    </w:tbl>
    <w:p>
      <w:pPr>
        <w:rPr>
          <w:sz w:val="24"/>
          <w:szCs w:val="24"/>
        </w:rPr>
      </w:pPr>
    </w:p>
    <w:p>
      <w:pPr>
        <w:widowControl/>
        <w:shd w:val="clear" w:color="auto" w:fill="FFFFFF"/>
        <w:spacing w:after="120" w:line="362" w:lineRule="atLeast"/>
        <w:rPr>
          <w:rFonts w:ascii="宋体" w:hAnsi="宋体" w:cs="宋体"/>
          <w:b/>
          <w:bCs/>
          <w:color w:val="FF0000"/>
          <w:kern w:val="0"/>
          <w:sz w:val="20"/>
          <w:szCs w:val="20"/>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pPr>
        <w:widowControl/>
        <w:numPr>
          <w:ilvl w:val="0"/>
          <w:numId w:val="0"/>
        </w:numPr>
        <w:shd w:val="clear" w:color="auto" w:fill="FFFFFF"/>
        <w:spacing w:before="50" w:line="228" w:lineRule="atLeast"/>
        <w:rPr>
          <w:rFonts w:hint="eastAsia" w:ascii="宋体" w:hAnsi="宋体" w:eastAsia="宋体" w:cs="宋体"/>
          <w:color w:val="FF0000"/>
          <w:kern w:val="0"/>
          <w:sz w:val="24"/>
          <w:szCs w:val="24"/>
          <w:lang w:val="en-US" w:eastAsia="zh-CN"/>
        </w:rPr>
      </w:pPr>
    </w:p>
    <w:p>
      <w:bookmarkStart w:id="0" w:name="RANGE!A42"/>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8C0690"/>
    <w:multiLevelType w:val="multilevel"/>
    <w:tmpl w:val="1F8C0690"/>
    <w:lvl w:ilvl="0" w:tentative="0">
      <w:start w:val="1"/>
      <w:numFmt w:val="decimal"/>
      <w:suff w:val="space"/>
      <w:lvlText w:val="%1、"/>
      <w:lvlJc w:val="left"/>
      <w:pPr>
        <w:ind w:left="340" w:hanging="3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A177129"/>
    <w:multiLevelType w:val="multilevel"/>
    <w:tmpl w:val="2A177129"/>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28D4DD8"/>
    <w:multiLevelType w:val="multilevel"/>
    <w:tmpl w:val="428D4DD8"/>
    <w:lvl w:ilvl="0" w:tentative="0">
      <w:start w:val="1"/>
      <w:numFmt w:val="decimal"/>
      <w:suff w:val="space"/>
      <w:lvlText w:val="%1、"/>
      <w:lvlJc w:val="left"/>
      <w:pPr>
        <w:ind w:left="284" w:hanging="284"/>
      </w:pPr>
      <w:rPr>
        <w:rFonts w:hint="default" w:ascii="宋体" w:hAnsi="宋体" w:eastAsia="宋体"/>
        <w:b w:val="0"/>
        <w:bCs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587333C"/>
    <w:multiLevelType w:val="multilevel"/>
    <w:tmpl w:val="6587333C"/>
    <w:lvl w:ilvl="0" w:tentative="0">
      <w:start w:val="6"/>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9F6169"/>
    <w:multiLevelType w:val="multilevel"/>
    <w:tmpl w:val="709F6169"/>
    <w:lvl w:ilvl="0" w:tentative="0">
      <w:start w:val="1"/>
      <w:numFmt w:val="decimal"/>
      <w:suff w:val="space"/>
      <w:lvlText w:val="%1、"/>
      <w:lvlJc w:val="left"/>
      <w:pPr>
        <w:ind w:left="340" w:hanging="3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BF7"/>
    <w:rsid w:val="00010319"/>
    <w:rsid w:val="00025FAC"/>
    <w:rsid w:val="00031C6D"/>
    <w:rsid w:val="00040F0E"/>
    <w:rsid w:val="00045592"/>
    <w:rsid w:val="00071144"/>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83F93"/>
    <w:rsid w:val="001B15F0"/>
    <w:rsid w:val="001E64ED"/>
    <w:rsid w:val="00224475"/>
    <w:rsid w:val="0025310E"/>
    <w:rsid w:val="00267035"/>
    <w:rsid w:val="00274311"/>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F7F32"/>
    <w:rsid w:val="00450BF7"/>
    <w:rsid w:val="00456AD1"/>
    <w:rsid w:val="00461C70"/>
    <w:rsid w:val="0048223B"/>
    <w:rsid w:val="00493829"/>
    <w:rsid w:val="004A0767"/>
    <w:rsid w:val="004A3F36"/>
    <w:rsid w:val="004B2AB2"/>
    <w:rsid w:val="004D1947"/>
    <w:rsid w:val="004E4E03"/>
    <w:rsid w:val="00505527"/>
    <w:rsid w:val="00512E43"/>
    <w:rsid w:val="005209B5"/>
    <w:rsid w:val="005361D9"/>
    <w:rsid w:val="00553E8B"/>
    <w:rsid w:val="00575C04"/>
    <w:rsid w:val="00582BD6"/>
    <w:rsid w:val="005A4D44"/>
    <w:rsid w:val="005A5F80"/>
    <w:rsid w:val="005A6410"/>
    <w:rsid w:val="005E569B"/>
    <w:rsid w:val="005E5CC3"/>
    <w:rsid w:val="005F0263"/>
    <w:rsid w:val="00607A01"/>
    <w:rsid w:val="00611779"/>
    <w:rsid w:val="0061330D"/>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5DDA"/>
    <w:rsid w:val="00816FA2"/>
    <w:rsid w:val="008329EB"/>
    <w:rsid w:val="00832F80"/>
    <w:rsid w:val="00845F49"/>
    <w:rsid w:val="00847481"/>
    <w:rsid w:val="00852484"/>
    <w:rsid w:val="00855D00"/>
    <w:rsid w:val="008607B3"/>
    <w:rsid w:val="008733B6"/>
    <w:rsid w:val="00883654"/>
    <w:rsid w:val="008E63AE"/>
    <w:rsid w:val="008F5810"/>
    <w:rsid w:val="008F6DFA"/>
    <w:rsid w:val="0096751A"/>
    <w:rsid w:val="009A1747"/>
    <w:rsid w:val="009F10BA"/>
    <w:rsid w:val="00A0374C"/>
    <w:rsid w:val="00A1247B"/>
    <w:rsid w:val="00A15A8D"/>
    <w:rsid w:val="00A37CBD"/>
    <w:rsid w:val="00A4367E"/>
    <w:rsid w:val="00A54250"/>
    <w:rsid w:val="00A557E9"/>
    <w:rsid w:val="00A75594"/>
    <w:rsid w:val="00AA2234"/>
    <w:rsid w:val="00AC1ADA"/>
    <w:rsid w:val="00B03B9A"/>
    <w:rsid w:val="00B2599F"/>
    <w:rsid w:val="00B67268"/>
    <w:rsid w:val="00B76FED"/>
    <w:rsid w:val="00B85243"/>
    <w:rsid w:val="00BA614A"/>
    <w:rsid w:val="00BE5B46"/>
    <w:rsid w:val="00C07DC0"/>
    <w:rsid w:val="00C202F1"/>
    <w:rsid w:val="00C24695"/>
    <w:rsid w:val="00C27687"/>
    <w:rsid w:val="00C55922"/>
    <w:rsid w:val="00C57EEE"/>
    <w:rsid w:val="00C7415B"/>
    <w:rsid w:val="00C806C3"/>
    <w:rsid w:val="00CB7EE7"/>
    <w:rsid w:val="00CC2F22"/>
    <w:rsid w:val="00CD4BD3"/>
    <w:rsid w:val="00CE21E2"/>
    <w:rsid w:val="00CE5376"/>
    <w:rsid w:val="00D075E8"/>
    <w:rsid w:val="00D20D5C"/>
    <w:rsid w:val="00D2699D"/>
    <w:rsid w:val="00D36004"/>
    <w:rsid w:val="00D369E2"/>
    <w:rsid w:val="00D42C5A"/>
    <w:rsid w:val="00D43021"/>
    <w:rsid w:val="00D47B16"/>
    <w:rsid w:val="00D72A95"/>
    <w:rsid w:val="00D778C0"/>
    <w:rsid w:val="00D97BEB"/>
    <w:rsid w:val="00DC24E1"/>
    <w:rsid w:val="00DE5125"/>
    <w:rsid w:val="00E134CD"/>
    <w:rsid w:val="00E77A0A"/>
    <w:rsid w:val="00E83551"/>
    <w:rsid w:val="00E839AF"/>
    <w:rsid w:val="00E87099"/>
    <w:rsid w:val="00EB1C34"/>
    <w:rsid w:val="00EB200D"/>
    <w:rsid w:val="00EC1B56"/>
    <w:rsid w:val="00EC2EDB"/>
    <w:rsid w:val="00EC448C"/>
    <w:rsid w:val="00F1034D"/>
    <w:rsid w:val="00F20234"/>
    <w:rsid w:val="00F25100"/>
    <w:rsid w:val="00F44ACE"/>
    <w:rsid w:val="00F55BF4"/>
    <w:rsid w:val="00F64352"/>
    <w:rsid w:val="00F81E7A"/>
    <w:rsid w:val="00F85E1B"/>
    <w:rsid w:val="00F9338A"/>
    <w:rsid w:val="00FA1ACB"/>
    <w:rsid w:val="00FA433A"/>
    <w:rsid w:val="00FC2D69"/>
    <w:rsid w:val="00FF3A97"/>
    <w:rsid w:val="00FF7CCF"/>
    <w:rsid w:val="05A33A7C"/>
    <w:rsid w:val="07B47785"/>
    <w:rsid w:val="086A7661"/>
    <w:rsid w:val="0BB27ECE"/>
    <w:rsid w:val="0C6761AF"/>
    <w:rsid w:val="111454CC"/>
    <w:rsid w:val="11532E91"/>
    <w:rsid w:val="11BF695B"/>
    <w:rsid w:val="15D408DC"/>
    <w:rsid w:val="17FC50C6"/>
    <w:rsid w:val="23D42313"/>
    <w:rsid w:val="24FD1647"/>
    <w:rsid w:val="298239F7"/>
    <w:rsid w:val="2B9E44AF"/>
    <w:rsid w:val="2EB20720"/>
    <w:rsid w:val="2F53767E"/>
    <w:rsid w:val="3034775C"/>
    <w:rsid w:val="3199580A"/>
    <w:rsid w:val="33B17B71"/>
    <w:rsid w:val="39754901"/>
    <w:rsid w:val="40BB5E41"/>
    <w:rsid w:val="40ED6FC6"/>
    <w:rsid w:val="40F878D4"/>
    <w:rsid w:val="41674637"/>
    <w:rsid w:val="41C16A06"/>
    <w:rsid w:val="41FC2CE3"/>
    <w:rsid w:val="42330824"/>
    <w:rsid w:val="44EA674E"/>
    <w:rsid w:val="48324E1C"/>
    <w:rsid w:val="4850479F"/>
    <w:rsid w:val="4C814CB3"/>
    <w:rsid w:val="4E3253B2"/>
    <w:rsid w:val="502A2CBA"/>
    <w:rsid w:val="50D53C5E"/>
    <w:rsid w:val="560A73D5"/>
    <w:rsid w:val="56E959AA"/>
    <w:rsid w:val="5E426908"/>
    <w:rsid w:val="60495CEA"/>
    <w:rsid w:val="653D6431"/>
    <w:rsid w:val="673C1D9C"/>
    <w:rsid w:val="69E7646F"/>
    <w:rsid w:val="6C9F28D0"/>
    <w:rsid w:val="6D5C26AD"/>
    <w:rsid w:val="6E6E333D"/>
    <w:rsid w:val="714D7D20"/>
    <w:rsid w:val="740B2994"/>
    <w:rsid w:val="75130487"/>
    <w:rsid w:val="7B8C1E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semiHidden/>
    <w:unhideWhenUsed/>
    <w:qFormat/>
    <w:uiPriority w:val="99"/>
    <w:rPr>
      <w:color w:val="0000FF"/>
      <w:u w:val="single"/>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character" w:customStyle="1" w:styleId="12">
    <w:name w:val="font31"/>
    <w:basedOn w:val="8"/>
    <w:qFormat/>
    <w:uiPriority w:val="0"/>
    <w:rPr>
      <w:rFonts w:hint="eastAsia" w:ascii="宋体" w:hAnsi="宋体" w:eastAsia="宋体" w:cs="宋体"/>
      <w:color w:val="000000"/>
      <w:sz w:val="20"/>
      <w:szCs w:val="20"/>
      <w:u w:val="none"/>
    </w:rPr>
  </w:style>
  <w:style w:type="character" w:customStyle="1" w:styleId="13">
    <w:name w:val="font01"/>
    <w:basedOn w:val="8"/>
    <w:qFormat/>
    <w:uiPriority w:val="0"/>
    <w:rPr>
      <w:rFonts w:ascii="Arial" w:hAnsi="Arial" w:cs="Arial"/>
      <w:color w:val="000000"/>
      <w:sz w:val="20"/>
      <w:szCs w:val="20"/>
      <w:u w:val="none"/>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7C2CD9-FEAB-47B1-A5A1-2AA899A1AFC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387</Words>
  <Characters>2210</Characters>
  <Lines>18</Lines>
  <Paragraphs>5</Paragraphs>
  <TotalTime>2</TotalTime>
  <ScaleCrop>false</ScaleCrop>
  <LinksUpToDate>false</LinksUpToDate>
  <CharactersWithSpaces>2592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  足迹</cp:lastModifiedBy>
  <dcterms:modified xsi:type="dcterms:W3CDTF">2021-12-16T03:11:00Z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EC7FA1BD237B4C32BA204CA897EAA7FC</vt:lpwstr>
  </property>
</Properties>
</file>