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720" w:firstLineChars="200"/>
        <w:jc w:val="left"/>
        <w:rPr>
          <w:rFonts w:hint="eastAsia" w:ascii="微软雅黑" w:hAnsi="微软雅黑" w:eastAsia="微软雅黑" w:cs="微软雅黑"/>
          <w:b/>
          <w:bCs/>
          <w:color w:val="000000"/>
          <w:sz w:val="36"/>
          <w:szCs w:val="36"/>
        </w:rPr>
      </w:pPr>
      <w:r>
        <w:rPr>
          <w:rFonts w:hint="eastAsia" w:ascii="微软雅黑" w:hAnsi="微软雅黑" w:eastAsia="微软雅黑" w:cs="微软雅黑"/>
          <w:b/>
          <w:bCs/>
          <w:color w:val="000000"/>
          <w:sz w:val="36"/>
          <w:szCs w:val="36"/>
        </w:rPr>
        <w:t>鑫广绿环</w:t>
      </w:r>
      <w:r>
        <w:rPr>
          <w:rFonts w:hint="eastAsia" w:ascii="微软雅黑" w:hAnsi="微软雅黑" w:eastAsia="微软雅黑" w:cs="微软雅黑"/>
          <w:b/>
          <w:bCs/>
          <w:color w:val="000000"/>
          <w:sz w:val="36"/>
          <w:szCs w:val="36"/>
          <w:lang w:val="en-US" w:eastAsia="zh-CN"/>
        </w:rPr>
        <w:t>填埋场</w:t>
      </w:r>
      <w:r>
        <w:rPr>
          <w:rFonts w:hint="eastAsia" w:ascii="微软雅黑" w:hAnsi="微软雅黑" w:eastAsia="微软雅黑" w:cs="微软雅黑"/>
          <w:b/>
          <w:bCs/>
          <w:color w:val="000000"/>
          <w:sz w:val="36"/>
          <w:szCs w:val="36"/>
        </w:rPr>
        <w:t>普通液体运输车</w:t>
      </w:r>
      <w:r>
        <w:rPr>
          <w:rFonts w:hint="eastAsia" w:ascii="微软雅黑" w:hAnsi="微软雅黑" w:eastAsia="微软雅黑" w:cs="微软雅黑"/>
          <w:b/>
          <w:bCs/>
          <w:color w:val="000000"/>
          <w:sz w:val="36"/>
          <w:szCs w:val="36"/>
          <w:lang w:val="en-US" w:eastAsia="zh-CN"/>
        </w:rPr>
        <w:t>购买</w:t>
      </w:r>
      <w:r>
        <w:rPr>
          <w:rFonts w:hint="eastAsia" w:ascii="微软雅黑" w:hAnsi="微软雅黑" w:eastAsia="微软雅黑" w:cs="微软雅黑"/>
          <w:b/>
          <w:bCs/>
          <w:color w:val="000000"/>
          <w:sz w:val="36"/>
          <w:szCs w:val="36"/>
        </w:rPr>
        <w:t>项目</w:t>
      </w:r>
    </w:p>
    <w:p>
      <w:pPr>
        <w:widowControl/>
        <w:shd w:val="clear" w:color="auto" w:fill="FFFFFF"/>
        <w:spacing w:before="156" w:line="228" w:lineRule="atLeast"/>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一、投标邀请</w:t>
      </w:r>
    </w:p>
    <w:p>
      <w:pPr>
        <w:widowControl/>
        <w:shd w:val="clear" w:color="auto" w:fill="FFFFFF"/>
        <w:spacing w:before="156" w:line="360" w:lineRule="auto"/>
        <w:ind w:firstLine="480" w:firstLineChars="200"/>
        <w:rPr>
          <w:rFonts w:ascii="宋体" w:hAnsi="宋体" w:cs="Arial"/>
          <w:sz w:val="24"/>
          <w:szCs w:val="24"/>
        </w:rPr>
      </w:pPr>
      <w:r>
        <w:rPr>
          <w:rFonts w:hint="eastAsia" w:ascii="宋体" w:hAnsi="宋体" w:cs="Arial"/>
          <w:sz w:val="24"/>
          <w:szCs w:val="24"/>
        </w:rPr>
        <w:t>鑫广绿环再生资源股份有限公司现对鑫广绿环</w:t>
      </w:r>
      <w:r>
        <w:rPr>
          <w:rFonts w:hint="eastAsia" w:ascii="宋体" w:hAnsi="宋体" w:cs="Arial"/>
          <w:sz w:val="24"/>
          <w:szCs w:val="24"/>
          <w:lang w:val="en-US" w:eastAsia="zh-CN"/>
        </w:rPr>
        <w:t>填埋场普通液体运输车</w:t>
      </w:r>
      <w:r>
        <w:rPr>
          <w:rFonts w:hint="eastAsia" w:ascii="宋体" w:hAnsi="宋体" w:cs="Arial"/>
          <w:sz w:val="24"/>
          <w:szCs w:val="24"/>
        </w:rPr>
        <w:t>采购项目进行招标，特邀请贵公司参加投标。</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159" w:beforeLines="50"/>
        <w:jc w:val="left"/>
        <w:rPr>
          <w:rFonts w:hint="eastAsia" w:ascii="宋体" w:hAnsi="宋体" w:cs="Arial" w:eastAsiaTheme="minorEastAsia"/>
          <w:sz w:val="24"/>
          <w:szCs w:val="24"/>
          <w:lang w:val="en-US" w:eastAsia="zh-CN"/>
        </w:rPr>
      </w:pPr>
      <w:r>
        <w:rPr>
          <w:rFonts w:hint="eastAsia" w:ascii="宋体" w:hAnsi="宋体" w:eastAsia="宋体" w:cs="宋体"/>
          <w:color w:val="000000"/>
          <w:kern w:val="0"/>
          <w:sz w:val="24"/>
          <w:szCs w:val="24"/>
        </w:rPr>
        <w:t>1.</w:t>
      </w:r>
      <w:r>
        <w:rPr>
          <w:rFonts w:ascii="宋体" w:hAnsi="宋体" w:eastAsia="宋体" w:cs="宋体"/>
          <w:color w:val="000000"/>
          <w:kern w:val="0"/>
          <w:sz w:val="24"/>
          <w:szCs w:val="24"/>
        </w:rPr>
        <w:t>1</w:t>
      </w:r>
      <w:r>
        <w:rPr>
          <w:rFonts w:hint="eastAsia" w:ascii="宋体" w:hAnsi="宋体" w:cs="Arial"/>
          <w:sz w:val="24"/>
          <w:szCs w:val="24"/>
        </w:rPr>
        <w:t>项目内容：鑫广绿环</w:t>
      </w:r>
      <w:r>
        <w:rPr>
          <w:rFonts w:hint="eastAsia" w:ascii="宋体" w:hAnsi="宋体" w:cs="Arial"/>
          <w:sz w:val="24"/>
          <w:szCs w:val="24"/>
          <w:lang w:val="en-US" w:eastAsia="zh-CN"/>
        </w:rPr>
        <w:t>填埋场普通液体运输车</w:t>
      </w:r>
      <w:r>
        <w:rPr>
          <w:rFonts w:hint="eastAsia" w:ascii="宋体" w:hAnsi="宋体" w:cs="Arial"/>
          <w:sz w:val="24"/>
          <w:szCs w:val="24"/>
        </w:rPr>
        <w:t>采购</w:t>
      </w:r>
      <w:r>
        <w:rPr>
          <w:rFonts w:hint="eastAsia" w:ascii="宋体" w:hAnsi="宋体" w:cs="Arial"/>
          <w:sz w:val="24"/>
          <w:szCs w:val="24"/>
          <w:lang w:val="en-US" w:eastAsia="zh-CN"/>
        </w:rPr>
        <w:t>项目</w:t>
      </w:r>
    </w:p>
    <w:p>
      <w:pPr>
        <w:widowControl/>
        <w:shd w:val="clear" w:color="auto" w:fill="FFFFFF"/>
        <w:spacing w:before="156" w:line="228" w:lineRule="atLeast"/>
        <w:jc w:val="left"/>
        <w:rPr>
          <w:rFonts w:ascii="宋体" w:hAnsi="宋体" w:cs="Arial"/>
          <w:sz w:val="24"/>
          <w:szCs w:val="24"/>
        </w:rPr>
      </w:pPr>
      <w:r>
        <w:rPr>
          <w:rFonts w:hint="eastAsia" w:ascii="宋体" w:hAnsi="宋体" w:cs="Arial"/>
          <w:sz w:val="24"/>
          <w:szCs w:val="24"/>
        </w:rPr>
        <w:t>1.2项目地址：烟台市开发区开封路8号鑫广绿环再生资源股份有限公司厂区</w:t>
      </w:r>
    </w:p>
    <w:p>
      <w:pPr>
        <w:widowControl/>
        <w:shd w:val="clear" w:color="auto" w:fill="FFFFFF"/>
        <w:spacing w:before="156" w:line="228" w:lineRule="atLeast"/>
        <w:jc w:val="left"/>
        <w:rPr>
          <w:rFonts w:ascii="宋体" w:hAnsi="宋体" w:cs="Arial"/>
          <w:sz w:val="24"/>
          <w:szCs w:val="24"/>
        </w:rPr>
      </w:pPr>
      <w:r>
        <w:rPr>
          <w:rFonts w:hint="eastAsia" w:ascii="宋体" w:hAnsi="宋体" w:cs="Arial"/>
          <w:sz w:val="24"/>
          <w:szCs w:val="24"/>
        </w:rPr>
        <w:t>1.3项目明细：（详见开标一览表）</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159" w:beforeLines="50" w:line="288" w:lineRule="auto"/>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159"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21年1</w:t>
      </w:r>
      <w:r>
        <w:rPr>
          <w:rFonts w:hint="eastAsia" w:ascii="宋体" w:hAnsi="宋体" w:cs="Arial"/>
          <w:sz w:val="24"/>
          <w:szCs w:val="24"/>
          <w:lang w:val="en-US" w:eastAsia="zh-CN"/>
        </w:rPr>
        <w:t>2</w:t>
      </w:r>
      <w:r>
        <w:rPr>
          <w:rFonts w:hint="eastAsia" w:ascii="宋体" w:hAnsi="宋体" w:cs="Arial"/>
          <w:sz w:val="24"/>
          <w:szCs w:val="24"/>
        </w:rPr>
        <w:t>月</w:t>
      </w:r>
      <w:r>
        <w:rPr>
          <w:rFonts w:hint="eastAsia" w:ascii="宋体" w:hAnsi="宋体" w:cs="Arial"/>
          <w:sz w:val="24"/>
          <w:szCs w:val="24"/>
          <w:lang w:val="en-US" w:eastAsia="zh-CN"/>
        </w:rPr>
        <w:t>13</w:t>
      </w:r>
      <w:r>
        <w:rPr>
          <w:rFonts w:hint="eastAsia" w:ascii="宋体" w:hAnsi="宋体" w:cs="Arial"/>
          <w:sz w:val="24"/>
          <w:szCs w:val="24"/>
        </w:rPr>
        <w:t>日（周</w:t>
      </w:r>
      <w:r>
        <w:rPr>
          <w:rFonts w:hint="eastAsia" w:ascii="宋体" w:hAnsi="宋体" w:cs="Arial"/>
          <w:sz w:val="24"/>
          <w:szCs w:val="24"/>
          <w:lang w:val="en-US" w:eastAsia="zh-CN"/>
        </w:rPr>
        <w:t>一</w:t>
      </w:r>
      <w:r>
        <w:rPr>
          <w:rFonts w:hint="eastAsia" w:ascii="宋体" w:hAnsi="宋体" w:cs="Arial"/>
          <w:sz w:val="24"/>
          <w:szCs w:val="24"/>
        </w:rPr>
        <w:t>）。</w:t>
      </w:r>
    </w:p>
    <w:p>
      <w:pPr>
        <w:adjustRightInd w:val="0"/>
        <w:snapToGrid w:val="0"/>
        <w:spacing w:before="159"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159" w:beforeLines="50" w:line="288" w:lineRule="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21年1</w:t>
      </w:r>
      <w:r>
        <w:rPr>
          <w:rFonts w:hint="eastAsia" w:ascii="宋体" w:hAnsi="宋体" w:cs="Arial"/>
          <w:color w:val="FF0000"/>
          <w:sz w:val="24"/>
          <w:szCs w:val="24"/>
          <w:lang w:val="en-US" w:eastAsia="zh-CN"/>
        </w:rPr>
        <w:t>2</w:t>
      </w:r>
      <w:r>
        <w:rPr>
          <w:rFonts w:hint="eastAsia" w:ascii="宋体" w:hAnsi="宋体" w:cs="Arial"/>
          <w:color w:val="FF0000"/>
          <w:sz w:val="24"/>
          <w:szCs w:val="24"/>
        </w:rPr>
        <w:t>月</w:t>
      </w:r>
      <w:r>
        <w:rPr>
          <w:rFonts w:hint="eastAsia" w:ascii="宋体" w:hAnsi="宋体" w:cs="Arial"/>
          <w:color w:val="FF0000"/>
          <w:sz w:val="24"/>
          <w:szCs w:val="24"/>
          <w:lang w:val="en-US" w:eastAsia="zh-CN"/>
        </w:rPr>
        <w:t>20</w:t>
      </w:r>
      <w:r>
        <w:rPr>
          <w:rFonts w:hint="eastAsia" w:ascii="宋体" w:hAnsi="宋体" w:cs="Arial"/>
          <w:color w:val="FF0000"/>
          <w:sz w:val="24"/>
          <w:szCs w:val="24"/>
        </w:rPr>
        <w:t>日（周</w:t>
      </w:r>
      <w:r>
        <w:rPr>
          <w:rFonts w:hint="eastAsia" w:ascii="宋体" w:hAnsi="宋体" w:cs="Arial"/>
          <w:color w:val="FF0000"/>
          <w:sz w:val="24"/>
          <w:szCs w:val="24"/>
          <w:lang w:val="en-US" w:eastAsia="zh-CN"/>
        </w:rPr>
        <w:t>一</w:t>
      </w:r>
      <w:r>
        <w:rPr>
          <w:rFonts w:hint="eastAsia" w:ascii="宋体" w:hAnsi="宋体" w:cs="Arial"/>
          <w:color w:val="FF0000"/>
          <w:sz w:val="24"/>
          <w:szCs w:val="24"/>
        </w:rPr>
        <w:t>）12：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159" w:beforeLines="50" w:line="288" w:lineRule="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159" w:beforeLines="50" w:line="288" w:lineRule="auto"/>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159" w:beforeLines="50" w:line="288" w:lineRule="auto"/>
        <w:rPr>
          <w:rFonts w:ascii="宋体" w:hAnsi="宋体" w:cs="Arial"/>
          <w:color w:val="000000"/>
          <w:sz w:val="24"/>
          <w:szCs w:val="24"/>
        </w:rPr>
      </w:pPr>
      <w:r>
        <w:rPr>
          <w:rFonts w:hint="eastAsia" w:ascii="宋体" w:hAnsi="宋体" w:cs="Arial"/>
          <w:color w:val="000000"/>
          <w:sz w:val="24"/>
          <w:szCs w:val="24"/>
        </w:rPr>
        <w:t xml:space="preserve">    答疑联系人：</w:t>
      </w:r>
      <w:r>
        <w:rPr>
          <w:rFonts w:hint="eastAsia" w:ascii="宋体" w:hAnsi="宋体" w:cs="Arial"/>
          <w:color w:val="000000"/>
          <w:sz w:val="24"/>
          <w:szCs w:val="24"/>
          <w:lang w:val="en-US" w:eastAsia="zh-CN"/>
        </w:rPr>
        <w:t>李  刚</w:t>
      </w:r>
      <w:r>
        <w:rPr>
          <w:rFonts w:hint="eastAsia" w:ascii="宋体" w:hAnsi="宋体" w:cs="Arial"/>
          <w:color w:val="000000"/>
          <w:sz w:val="24"/>
          <w:szCs w:val="24"/>
        </w:rPr>
        <w:t>（手机</w:t>
      </w:r>
      <w:r>
        <w:rPr>
          <w:rFonts w:hint="eastAsia" w:ascii="宋体" w:hAnsi="宋体" w:cs="Arial"/>
          <w:color w:val="000000"/>
          <w:sz w:val="24"/>
          <w:szCs w:val="24"/>
          <w:lang w:val="en-US" w:eastAsia="zh-CN"/>
        </w:rPr>
        <w:t>15064583113</w:t>
      </w:r>
      <w:r>
        <w:rPr>
          <w:rFonts w:hint="eastAsia" w:ascii="宋体" w:hAnsi="宋体" w:cs="Arial"/>
          <w:color w:val="000000"/>
          <w:sz w:val="24"/>
          <w:szCs w:val="24"/>
        </w:rPr>
        <w:t>）</w:t>
      </w:r>
    </w:p>
    <w:p>
      <w:pPr>
        <w:adjustRightInd w:val="0"/>
        <w:snapToGrid w:val="0"/>
        <w:spacing w:before="159" w:beforeLines="50" w:line="288" w:lineRule="auto"/>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6</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ascii="宋体" w:hAnsi="宋体" w:cs="Arial"/>
          <w:color w:val="FF0000"/>
          <w:sz w:val="24"/>
          <w:szCs w:val="24"/>
        </w:rPr>
        <w:t>1</w:t>
      </w:r>
      <w:r>
        <w:rPr>
          <w:rFonts w:hint="eastAsia" w:ascii="宋体" w:hAnsi="宋体" w:cs="Arial"/>
          <w:color w:val="FF0000"/>
          <w:sz w:val="24"/>
          <w:szCs w:val="24"/>
        </w:rPr>
        <w:t>年</w:t>
      </w:r>
      <w:r>
        <w:rPr>
          <w:rFonts w:hint="eastAsia" w:ascii="宋体" w:hAnsi="宋体" w:cs="Arial"/>
          <w:color w:val="FF0000"/>
          <w:sz w:val="24"/>
          <w:szCs w:val="24"/>
          <w:lang w:val="en-US" w:eastAsia="zh-CN"/>
        </w:rPr>
        <w:t>12</w:t>
      </w:r>
      <w:r>
        <w:rPr>
          <w:rFonts w:hint="eastAsia" w:ascii="宋体" w:hAnsi="宋体" w:cs="Arial"/>
          <w:color w:val="FF0000"/>
          <w:sz w:val="24"/>
          <w:szCs w:val="24"/>
        </w:rPr>
        <w:t>月</w:t>
      </w:r>
      <w:r>
        <w:rPr>
          <w:rFonts w:hint="eastAsia" w:ascii="宋体" w:hAnsi="宋体" w:cs="Arial"/>
          <w:color w:val="FF0000"/>
          <w:sz w:val="24"/>
          <w:szCs w:val="24"/>
          <w:lang w:val="en-US" w:eastAsia="zh-CN"/>
        </w:rPr>
        <w:t>20</w:t>
      </w:r>
      <w:r>
        <w:rPr>
          <w:rFonts w:hint="eastAsia" w:ascii="宋体" w:hAnsi="宋体" w:cs="Arial"/>
          <w:color w:val="FF0000"/>
          <w:sz w:val="24"/>
          <w:szCs w:val="24"/>
        </w:rPr>
        <w:t>日（周</w:t>
      </w:r>
      <w:r>
        <w:rPr>
          <w:rFonts w:hint="eastAsia" w:ascii="宋体" w:hAnsi="宋体" w:cs="Arial"/>
          <w:color w:val="FF0000"/>
          <w:sz w:val="24"/>
          <w:szCs w:val="24"/>
          <w:lang w:val="en-US" w:eastAsia="zh-CN"/>
        </w:rPr>
        <w:t>一</w:t>
      </w:r>
      <w:r>
        <w:rPr>
          <w:rFonts w:hint="eastAsia" w:ascii="宋体" w:hAnsi="宋体" w:cs="Arial"/>
          <w:color w:val="FF0000"/>
          <w:sz w:val="24"/>
          <w:szCs w:val="24"/>
        </w:rPr>
        <w:t>）14：00</w:t>
      </w:r>
    </w:p>
    <w:p>
      <w:pPr>
        <w:adjustRightInd w:val="0"/>
        <w:snapToGrid w:val="0"/>
        <w:spacing w:before="159" w:beforeLines="50" w:line="288" w:lineRule="auto"/>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159" w:beforeLines="50"/>
        <w:jc w:val="left"/>
        <w:rPr>
          <w:rFonts w:hint="eastAsia" w:ascii="宋体" w:hAnsi="宋体" w:cs="Arial" w:eastAsiaTheme="minorEastAsia"/>
          <w:sz w:val="24"/>
          <w:szCs w:val="24"/>
          <w:lang w:val="en-US" w:eastAsia="zh-CN"/>
        </w:rPr>
      </w:pPr>
      <w:r>
        <w:rPr>
          <w:rFonts w:hint="eastAsia" w:ascii="宋体" w:hAnsi="宋体" w:eastAsia="宋体" w:cs="宋体"/>
          <w:b/>
          <w:bCs/>
          <w:color w:val="000000"/>
          <w:kern w:val="0"/>
          <w:sz w:val="24"/>
          <w:szCs w:val="24"/>
        </w:rPr>
        <w:t>1、适用范围：</w:t>
      </w:r>
      <w:r>
        <w:rPr>
          <w:rFonts w:hint="eastAsia" w:ascii="宋体" w:hAnsi="宋体" w:cs="Arial"/>
          <w:sz w:val="24"/>
          <w:szCs w:val="24"/>
        </w:rPr>
        <w:t>鑫广绿环</w:t>
      </w:r>
      <w:r>
        <w:rPr>
          <w:rFonts w:hint="eastAsia" w:ascii="宋体" w:hAnsi="宋体" w:cs="Arial"/>
          <w:sz w:val="24"/>
          <w:szCs w:val="24"/>
          <w:lang w:val="en-US" w:eastAsia="zh-CN"/>
        </w:rPr>
        <w:t>填埋场普通液体运输车</w:t>
      </w:r>
      <w:r>
        <w:rPr>
          <w:rFonts w:hint="eastAsia" w:ascii="宋体" w:hAnsi="宋体" w:cs="Arial"/>
          <w:sz w:val="24"/>
          <w:szCs w:val="24"/>
        </w:rPr>
        <w:t>采购</w:t>
      </w:r>
      <w:r>
        <w:rPr>
          <w:rFonts w:hint="eastAsia" w:ascii="宋体" w:hAnsi="宋体" w:cs="Arial"/>
          <w:sz w:val="24"/>
          <w:szCs w:val="24"/>
          <w:lang w:val="en-US" w:eastAsia="zh-CN"/>
        </w:rPr>
        <w:t>项目</w:t>
      </w:r>
    </w:p>
    <w:p>
      <w:pPr>
        <w:adjustRightInd w:val="0"/>
        <w:snapToGrid w:val="0"/>
        <w:spacing w:before="159" w:beforeLines="50"/>
        <w:jc w:val="left"/>
        <w:rPr>
          <w:rFonts w:ascii="宋体" w:hAnsi="宋体" w:cs="Arial"/>
          <w:sz w:val="24"/>
          <w:szCs w:val="24"/>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3.1</w:t>
      </w:r>
      <w:r>
        <w:rPr>
          <w:rFonts w:hint="eastAsia" w:ascii="宋体" w:hAnsi="宋体" w:eastAsia="宋体" w:cs="Arial"/>
          <w:color w:val="000000"/>
          <w:kern w:val="0"/>
          <w:sz w:val="24"/>
          <w:szCs w:val="24"/>
        </w:rPr>
        <w:t>投标人本企业有关证明复印件，如：营业执照、资质证书、安全证书、其它信誉证书等。</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rPr>
          <w:rFonts w:ascii="Calibri" w:hAnsi="Calibri" w:eastAsia="宋体" w:cs="宋体"/>
          <w:color w:val="000000"/>
          <w:kern w:val="0"/>
          <w:szCs w:val="21"/>
        </w:rPr>
      </w:pPr>
      <w:bookmarkStart w:id="0" w:name="_GoBack"/>
      <w:bookmarkEnd w:id="0"/>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30</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rFonts w:hint="default" w:eastAsiaTheme="minorEastAsia"/>
          <w:color w:val="FF0000"/>
          <w:sz w:val="24"/>
          <w:lang w:val="en-US" w:eastAsia="zh-CN"/>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w:t>
      </w:r>
      <w:r>
        <w:rPr>
          <w:rFonts w:hint="eastAsia"/>
          <w:sz w:val="24"/>
          <w:lang w:val="en-US" w:eastAsia="zh-CN"/>
        </w:rPr>
        <w:t>50</w:t>
      </w:r>
      <w:r>
        <w:rPr>
          <w:sz w:val="24"/>
        </w:rPr>
        <w:t>%</w:t>
      </w:r>
      <w:r>
        <w:rPr>
          <w:rFonts w:hint="eastAsia"/>
          <w:sz w:val="24"/>
        </w:rPr>
        <w:t>，（其中总价款的</w:t>
      </w:r>
      <w:r>
        <w:rPr>
          <w:sz w:val="24"/>
        </w:rPr>
        <w:t>20%</w:t>
      </w:r>
      <w:r>
        <w:rPr>
          <w:rFonts w:hint="eastAsia"/>
          <w:sz w:val="24"/>
        </w:rPr>
        <w:t>为合同定金），设备到货验收后支付</w:t>
      </w:r>
      <w:r>
        <w:rPr>
          <w:rFonts w:hint="eastAsia"/>
          <w:sz w:val="24"/>
          <w:lang w:val="en-US" w:eastAsia="zh-CN"/>
        </w:rPr>
        <w:t>50</w:t>
      </w:r>
      <w:r>
        <w:rPr>
          <w:rFonts w:hint="eastAsia"/>
          <w:sz w:val="24"/>
        </w:rPr>
        <w:t>%。</w:t>
      </w:r>
      <w:r>
        <w:rPr>
          <w:rFonts w:hint="eastAsia"/>
          <w:color w:val="FF0000"/>
          <w:sz w:val="24"/>
          <w:lang w:eastAsia="zh-CN"/>
        </w:rPr>
        <w:t>（</w:t>
      </w:r>
      <w:r>
        <w:rPr>
          <w:rFonts w:hint="eastAsia"/>
          <w:color w:val="FF0000"/>
          <w:sz w:val="24"/>
          <w:lang w:val="en-US" w:eastAsia="zh-CN"/>
        </w:rPr>
        <w:t>不低于合同金额得50%银行承兑）能否接受承兑还请在标书内标明。</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中华人民共和国</w:t>
      </w:r>
      <w:r>
        <w:rPr>
          <w:rFonts w:hint="eastAsia" w:ascii="宋体" w:hAnsi="宋体" w:eastAsia="宋体" w:cs="宋体"/>
          <w:color w:val="000000"/>
          <w:kern w:val="0"/>
          <w:sz w:val="24"/>
          <w:szCs w:val="24"/>
        </w:rPr>
        <w:t>民典法》和招标文件内容的解释为准。</w:t>
      </w:r>
    </w:p>
    <w:p>
      <w:pPr>
        <w:widowControl/>
        <w:numPr>
          <w:ilvl w:val="0"/>
          <w:numId w:val="1"/>
        </w:numPr>
        <w:shd w:val="clear" w:color="auto" w:fill="FFFFFF"/>
        <w:spacing w:before="50" w:line="228" w:lineRule="atLeast"/>
        <w:rPr>
          <w:rFonts w:hint="default" w:ascii="宋体" w:hAnsi="宋体" w:eastAsia="宋体" w:cs="宋体"/>
          <w:b/>
          <w:bCs/>
          <w:color w:val="FF0000"/>
          <w:kern w:val="0"/>
          <w:sz w:val="24"/>
          <w:szCs w:val="24"/>
          <w:lang w:val="en-US" w:eastAsia="zh-CN"/>
        </w:rPr>
      </w:pPr>
      <w:r>
        <w:rPr>
          <w:rFonts w:hint="eastAsia" w:ascii="宋体" w:hAnsi="宋体" w:eastAsia="宋体" w:cs="宋体"/>
          <w:b/>
          <w:bCs/>
          <w:color w:val="FF0000"/>
          <w:kern w:val="0"/>
          <w:sz w:val="24"/>
          <w:szCs w:val="24"/>
          <w:lang w:val="en-US" w:eastAsia="zh-CN"/>
        </w:rPr>
        <w:t>具体要求</w:t>
      </w:r>
    </w:p>
    <w:p>
      <w:pPr>
        <w:rPr>
          <w:rFonts w:hint="eastAsia" w:ascii="宋体" w:hAnsi="宋体" w:eastAsia="宋体" w:cs="宋体"/>
          <w:color w:val="000000"/>
          <w:kern w:val="0"/>
          <w:sz w:val="24"/>
          <w:szCs w:val="24"/>
        </w:rPr>
        <w:sectPr>
          <w:pgSz w:w="11906" w:h="16838"/>
          <w:pgMar w:top="1440" w:right="1803" w:bottom="1440" w:left="1803" w:header="851" w:footer="992" w:gutter="0"/>
          <w:cols w:space="0" w:num="1"/>
          <w:docGrid w:type="lines" w:linePitch="319" w:charSpace="0"/>
        </w:sectPr>
      </w:pPr>
      <w:r>
        <w:rPr>
          <w:rFonts w:hint="eastAsia" w:ascii="黑体" w:eastAsia="黑体"/>
          <w:color w:val="FF0000"/>
          <w:sz w:val="21"/>
          <w:szCs w:val="21"/>
        </w:rPr>
        <w:t>上装管体容积1</w:t>
      </w:r>
      <w:r>
        <w:rPr>
          <w:rFonts w:hint="eastAsia" w:ascii="黑体" w:eastAsia="黑体"/>
          <w:color w:val="FF0000"/>
          <w:sz w:val="21"/>
          <w:szCs w:val="21"/>
          <w:lang w:val="en-US" w:eastAsia="zh-CN"/>
        </w:rPr>
        <w:t>2</w:t>
      </w:r>
      <w:r>
        <w:rPr>
          <w:rFonts w:hint="eastAsia" w:ascii="黑体" w:eastAsia="黑体"/>
          <w:color w:val="FF0000"/>
          <w:sz w:val="21"/>
          <w:szCs w:val="21"/>
        </w:rPr>
        <w:t>方，罐体材料为Q235B型碳钢带内衬塑，4mm厚，罐体通仓；内衬聚乙稀塑厚度16mm，一个全塑罐口带接酸盘，罐体顶部带上围板，围板内做重沥青防腐。罐体尾底部一套DN100气动衬氟蝶阀为总阀，副梁前高后低，罐体尾部大梁下左右边各一个DN80全塑球阀出口，带全塑保护箱；带一套化工泵，流量：25m3/h，扬程：20m仅泵出功能。不锈钢升降护栏，尾部爬梯，两根卸料管，两个灭火器，其余厂家标配。</w:t>
      </w:r>
    </w:p>
    <w:tbl>
      <w:tblPr>
        <w:tblStyle w:val="5"/>
        <w:tblW w:w="46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849"/>
        <w:gridCol w:w="994"/>
        <w:gridCol w:w="1701"/>
        <w:gridCol w:w="3098"/>
        <w:gridCol w:w="870"/>
        <w:gridCol w:w="710"/>
        <w:gridCol w:w="847"/>
        <w:gridCol w:w="99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10"/>
            <w:shd w:val="clear" w:color="auto" w:fill="auto"/>
            <w:noWrap/>
            <w:vAlign w:val="center"/>
          </w:tcPr>
          <w:p>
            <w:pPr>
              <w:widowControl/>
              <w:jc w:val="center"/>
              <w:textAlignment w:val="center"/>
              <w:rPr>
                <w:rFonts w:ascii="宋体" w:hAnsi="宋体" w:eastAsia="宋体" w:cs="宋体"/>
                <w:b/>
                <w:color w:val="000000"/>
                <w:kern w:val="0"/>
                <w:sz w:val="32"/>
                <w:szCs w:val="32"/>
                <w:lang w:bidi="ar"/>
              </w:rPr>
            </w:pPr>
            <w:r>
              <w:rPr>
                <w:rFonts w:hint="eastAsia" w:ascii="宋体" w:hAnsi="宋体" w:eastAsia="宋体" w:cs="宋体"/>
                <w:b/>
                <w:color w:val="000000"/>
                <w:kern w:val="0"/>
                <w:sz w:val="32"/>
                <w:szCs w:val="32"/>
                <w:lang w:bidi="ar"/>
              </w:rPr>
              <w:t>开标一览表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10"/>
            <w:shd w:val="clear" w:color="auto" w:fill="auto"/>
            <w:noWrap/>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项目</w:t>
            </w:r>
            <w:r>
              <w:rPr>
                <w:rFonts w:ascii="宋体" w:hAnsi="宋体" w:eastAsia="宋体" w:cs="宋体"/>
                <w:color w:val="000000"/>
                <w:kern w:val="0"/>
                <w:sz w:val="22"/>
                <w:lang w:bidi="ar"/>
              </w:rPr>
              <w:t>名称：</w:t>
            </w:r>
            <w:r>
              <w:rPr>
                <w:rFonts w:hint="eastAsia" w:ascii="宋体" w:hAnsi="宋体" w:cs="Arial"/>
                <w:sz w:val="24"/>
                <w:szCs w:val="24"/>
              </w:rPr>
              <w:t>鑫广绿环</w:t>
            </w:r>
            <w:r>
              <w:rPr>
                <w:rFonts w:hint="eastAsia" w:ascii="宋体" w:hAnsi="宋体" w:cs="Arial"/>
                <w:sz w:val="24"/>
                <w:szCs w:val="24"/>
                <w:lang w:val="en-US" w:eastAsia="zh-CN"/>
              </w:rPr>
              <w:t>填埋场普通液体运输车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322"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名称</w:t>
            </w:r>
          </w:p>
        </w:tc>
        <w:tc>
          <w:tcPr>
            <w:tcW w:w="378"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品牌</w:t>
            </w:r>
          </w:p>
        </w:tc>
        <w:tc>
          <w:tcPr>
            <w:tcW w:w="646"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型号</w:t>
            </w:r>
          </w:p>
        </w:tc>
        <w:tc>
          <w:tcPr>
            <w:tcW w:w="1178"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描述</w:t>
            </w:r>
          </w:p>
        </w:tc>
        <w:tc>
          <w:tcPr>
            <w:tcW w:w="330"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数量</w:t>
            </w:r>
          </w:p>
        </w:tc>
        <w:tc>
          <w:tcPr>
            <w:tcW w:w="270"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322" w:type="pct"/>
          </w:tcPr>
          <w:p>
            <w:pPr>
              <w:widowControl/>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单价</w:t>
            </w:r>
          </w:p>
        </w:tc>
        <w:tc>
          <w:tcPr>
            <w:tcW w:w="378" w:type="pct"/>
            <w:shd w:val="clear" w:color="auto" w:fill="auto"/>
            <w:noWrap/>
            <w:vAlign w:val="center"/>
          </w:tcPr>
          <w:p>
            <w:pPr>
              <w:widowControl/>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合计</w:t>
            </w:r>
          </w:p>
        </w:tc>
        <w:tc>
          <w:tcPr>
            <w:tcW w:w="916"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5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2" w:type="pct"/>
            <w:shd w:val="clear" w:color="auto" w:fill="auto"/>
            <w:noWrap/>
            <w:vAlign w:val="center"/>
          </w:tcPr>
          <w:p>
            <w:pPr>
              <w:widowControl/>
              <w:jc w:val="left"/>
              <w:textAlignment w:val="center"/>
              <w:rPr>
                <w:rFonts w:ascii="宋体" w:hAnsi="宋体" w:eastAsia="宋体" w:cs="宋体"/>
                <w:color w:val="000000"/>
                <w:sz w:val="20"/>
                <w:szCs w:val="20"/>
              </w:rPr>
            </w:pPr>
          </w:p>
        </w:tc>
        <w:tc>
          <w:tcPr>
            <w:tcW w:w="378" w:type="pct"/>
            <w:shd w:val="clear" w:color="auto" w:fill="auto"/>
            <w:noWrap/>
            <w:vAlign w:val="center"/>
          </w:tcPr>
          <w:p>
            <w:pPr>
              <w:widowControl/>
              <w:jc w:val="center"/>
              <w:textAlignment w:val="center"/>
              <w:rPr>
                <w:rFonts w:ascii="宋体" w:hAnsi="宋体" w:eastAsia="宋体" w:cs="宋体"/>
                <w:color w:val="000000"/>
                <w:sz w:val="20"/>
                <w:szCs w:val="20"/>
              </w:rPr>
            </w:pPr>
          </w:p>
        </w:tc>
        <w:tc>
          <w:tcPr>
            <w:tcW w:w="646" w:type="pct"/>
            <w:shd w:val="clear" w:color="auto" w:fill="auto"/>
            <w:vAlign w:val="center"/>
          </w:tcPr>
          <w:p>
            <w:pPr>
              <w:widowControl/>
              <w:jc w:val="left"/>
              <w:textAlignment w:val="center"/>
              <w:rPr>
                <w:rFonts w:ascii="宋体" w:hAnsi="宋体" w:eastAsia="宋体" w:cs="宋体"/>
                <w:color w:val="000000"/>
                <w:sz w:val="20"/>
                <w:szCs w:val="20"/>
              </w:rPr>
            </w:pPr>
          </w:p>
        </w:tc>
        <w:tc>
          <w:tcPr>
            <w:tcW w:w="1178" w:type="pct"/>
            <w:shd w:val="clear" w:color="auto" w:fill="auto"/>
            <w:vAlign w:val="center"/>
          </w:tcPr>
          <w:p>
            <w:pPr>
              <w:widowControl/>
              <w:jc w:val="left"/>
              <w:textAlignment w:val="center"/>
              <w:rPr>
                <w:rFonts w:ascii="宋体" w:hAnsi="宋体" w:eastAsia="宋体" w:cs="宋体"/>
                <w:color w:val="000000"/>
                <w:sz w:val="20"/>
                <w:szCs w:val="20"/>
              </w:rPr>
            </w:pPr>
          </w:p>
        </w:tc>
        <w:tc>
          <w:tcPr>
            <w:tcW w:w="330" w:type="pct"/>
            <w:shd w:val="clear" w:color="auto" w:fill="auto"/>
            <w:noWrap/>
            <w:vAlign w:val="center"/>
          </w:tcPr>
          <w:p>
            <w:pPr>
              <w:widowControl/>
              <w:jc w:val="center"/>
              <w:textAlignment w:val="center"/>
              <w:rPr>
                <w:rFonts w:ascii="宋体" w:hAnsi="宋体" w:eastAsia="宋体" w:cs="宋体"/>
                <w:color w:val="000000"/>
                <w:sz w:val="20"/>
                <w:szCs w:val="20"/>
              </w:rPr>
            </w:pPr>
          </w:p>
        </w:tc>
        <w:tc>
          <w:tcPr>
            <w:tcW w:w="270" w:type="pct"/>
            <w:shd w:val="clear" w:color="auto" w:fill="auto"/>
            <w:noWrap/>
            <w:vAlign w:val="center"/>
          </w:tcPr>
          <w:p>
            <w:pPr>
              <w:widowControl/>
              <w:jc w:val="center"/>
              <w:textAlignment w:val="center"/>
              <w:rPr>
                <w:rFonts w:ascii="宋体" w:hAnsi="宋体" w:eastAsia="宋体" w:cs="宋体"/>
                <w:color w:val="000000"/>
                <w:sz w:val="20"/>
                <w:szCs w:val="20"/>
              </w:rPr>
            </w:pPr>
          </w:p>
        </w:tc>
        <w:tc>
          <w:tcPr>
            <w:tcW w:w="322" w:type="pct"/>
          </w:tcPr>
          <w:p>
            <w:pPr>
              <w:widowControl/>
              <w:jc w:val="center"/>
              <w:textAlignment w:val="center"/>
              <w:rPr>
                <w:rFonts w:ascii="宋体" w:hAnsi="宋体" w:eastAsia="宋体" w:cs="宋体"/>
                <w:color w:val="000000"/>
                <w:kern w:val="0"/>
                <w:sz w:val="20"/>
                <w:szCs w:val="20"/>
                <w:lang w:bidi="ar"/>
              </w:rPr>
            </w:pPr>
          </w:p>
        </w:tc>
        <w:tc>
          <w:tcPr>
            <w:tcW w:w="378" w:type="pct"/>
            <w:shd w:val="clear" w:color="auto" w:fill="auto"/>
            <w:noWrap/>
            <w:vAlign w:val="center"/>
          </w:tcPr>
          <w:p>
            <w:pPr>
              <w:widowControl/>
              <w:jc w:val="center"/>
              <w:textAlignment w:val="center"/>
              <w:rPr>
                <w:rFonts w:ascii="宋体" w:hAnsi="宋体" w:eastAsia="宋体" w:cs="宋体"/>
                <w:color w:val="000000"/>
                <w:kern w:val="0"/>
                <w:sz w:val="20"/>
                <w:szCs w:val="20"/>
                <w:lang w:bidi="ar"/>
              </w:rPr>
            </w:pPr>
          </w:p>
        </w:tc>
        <w:tc>
          <w:tcPr>
            <w:tcW w:w="916" w:type="pct"/>
            <w:shd w:val="clear" w:color="auto" w:fill="auto"/>
            <w:noWrap/>
            <w:vAlign w:val="center"/>
          </w:tcPr>
          <w:p>
            <w:pPr>
              <w:rPr>
                <w:rFonts w:ascii="宋体" w:hAnsi="宋体" w:eastAsia="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5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2" w:type="pct"/>
            <w:shd w:val="clear" w:color="auto" w:fill="auto"/>
            <w:noWrap/>
            <w:vAlign w:val="center"/>
          </w:tcPr>
          <w:p>
            <w:pPr>
              <w:widowControl/>
              <w:jc w:val="left"/>
              <w:textAlignment w:val="center"/>
              <w:rPr>
                <w:rFonts w:ascii="宋体" w:hAnsi="宋体" w:eastAsia="宋体" w:cs="宋体"/>
                <w:color w:val="000000"/>
                <w:sz w:val="20"/>
                <w:szCs w:val="20"/>
              </w:rPr>
            </w:pPr>
          </w:p>
        </w:tc>
        <w:tc>
          <w:tcPr>
            <w:tcW w:w="378" w:type="pct"/>
            <w:shd w:val="clear" w:color="auto" w:fill="auto"/>
            <w:noWrap/>
            <w:vAlign w:val="center"/>
          </w:tcPr>
          <w:p>
            <w:pPr>
              <w:widowControl/>
              <w:jc w:val="center"/>
              <w:textAlignment w:val="center"/>
              <w:rPr>
                <w:rFonts w:ascii="宋体" w:hAnsi="宋体" w:eastAsia="宋体" w:cs="宋体"/>
                <w:color w:val="000000"/>
                <w:sz w:val="20"/>
                <w:szCs w:val="20"/>
              </w:rPr>
            </w:pPr>
          </w:p>
        </w:tc>
        <w:tc>
          <w:tcPr>
            <w:tcW w:w="646" w:type="pct"/>
            <w:shd w:val="clear" w:color="auto" w:fill="auto"/>
            <w:vAlign w:val="center"/>
          </w:tcPr>
          <w:p>
            <w:pPr>
              <w:widowControl/>
              <w:jc w:val="left"/>
              <w:textAlignment w:val="center"/>
              <w:rPr>
                <w:rFonts w:ascii="宋体" w:hAnsi="宋体" w:eastAsia="宋体" w:cs="宋体"/>
                <w:color w:val="000000"/>
                <w:sz w:val="20"/>
                <w:szCs w:val="20"/>
              </w:rPr>
            </w:pPr>
          </w:p>
        </w:tc>
        <w:tc>
          <w:tcPr>
            <w:tcW w:w="1178" w:type="pct"/>
            <w:shd w:val="clear" w:color="auto" w:fill="auto"/>
            <w:vAlign w:val="center"/>
          </w:tcPr>
          <w:p>
            <w:pPr>
              <w:widowControl/>
              <w:jc w:val="left"/>
              <w:textAlignment w:val="center"/>
              <w:rPr>
                <w:rFonts w:ascii="宋体" w:hAnsi="宋体" w:eastAsia="宋体" w:cs="宋体"/>
                <w:color w:val="000000"/>
                <w:sz w:val="20"/>
                <w:szCs w:val="20"/>
              </w:rPr>
            </w:pPr>
          </w:p>
        </w:tc>
        <w:tc>
          <w:tcPr>
            <w:tcW w:w="330" w:type="pct"/>
            <w:shd w:val="clear" w:color="auto" w:fill="auto"/>
            <w:noWrap/>
            <w:vAlign w:val="center"/>
          </w:tcPr>
          <w:p>
            <w:pPr>
              <w:widowControl/>
              <w:jc w:val="center"/>
              <w:textAlignment w:val="center"/>
              <w:rPr>
                <w:rFonts w:ascii="宋体" w:hAnsi="宋体" w:eastAsia="宋体" w:cs="宋体"/>
                <w:color w:val="000000"/>
                <w:sz w:val="20"/>
                <w:szCs w:val="20"/>
              </w:rPr>
            </w:pPr>
          </w:p>
        </w:tc>
        <w:tc>
          <w:tcPr>
            <w:tcW w:w="270" w:type="pct"/>
            <w:shd w:val="clear" w:color="auto" w:fill="auto"/>
            <w:noWrap/>
            <w:vAlign w:val="center"/>
          </w:tcPr>
          <w:p>
            <w:pPr>
              <w:widowControl/>
              <w:jc w:val="center"/>
              <w:textAlignment w:val="center"/>
              <w:rPr>
                <w:rFonts w:ascii="宋体" w:hAnsi="宋体" w:eastAsia="宋体" w:cs="宋体"/>
                <w:color w:val="000000"/>
                <w:sz w:val="20"/>
                <w:szCs w:val="20"/>
              </w:rPr>
            </w:pPr>
          </w:p>
        </w:tc>
        <w:tc>
          <w:tcPr>
            <w:tcW w:w="322" w:type="pct"/>
          </w:tcPr>
          <w:p>
            <w:pPr>
              <w:widowControl/>
              <w:jc w:val="center"/>
              <w:textAlignment w:val="center"/>
              <w:rPr>
                <w:rFonts w:ascii="宋体" w:hAnsi="宋体" w:eastAsia="宋体" w:cs="宋体"/>
                <w:color w:val="000000"/>
                <w:kern w:val="0"/>
                <w:sz w:val="20"/>
                <w:szCs w:val="20"/>
                <w:lang w:bidi="ar"/>
              </w:rPr>
            </w:pPr>
          </w:p>
        </w:tc>
        <w:tc>
          <w:tcPr>
            <w:tcW w:w="378" w:type="pct"/>
            <w:shd w:val="clear" w:color="auto" w:fill="auto"/>
            <w:noWrap/>
            <w:vAlign w:val="center"/>
          </w:tcPr>
          <w:p>
            <w:pPr>
              <w:widowControl/>
              <w:jc w:val="center"/>
              <w:textAlignment w:val="center"/>
              <w:rPr>
                <w:rFonts w:ascii="宋体" w:hAnsi="宋体" w:eastAsia="宋体" w:cs="宋体"/>
                <w:color w:val="000000"/>
                <w:kern w:val="0"/>
                <w:sz w:val="20"/>
                <w:szCs w:val="20"/>
                <w:lang w:bidi="ar"/>
              </w:rPr>
            </w:pPr>
          </w:p>
        </w:tc>
        <w:tc>
          <w:tcPr>
            <w:tcW w:w="916" w:type="pct"/>
            <w:shd w:val="clear" w:color="auto" w:fill="auto"/>
            <w:noWrap/>
            <w:vAlign w:val="center"/>
          </w:tcPr>
          <w:p>
            <w:pPr>
              <w:widowControl/>
              <w:jc w:val="left"/>
              <w:textAlignment w:val="center"/>
              <w:rPr>
                <w:rFonts w:hint="eastAsia" w:ascii="宋体" w:hAnsi="宋体" w:eastAsia="宋体" w:cs="宋体"/>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5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2" w:type="pct"/>
            <w:shd w:val="clear" w:color="auto" w:fill="auto"/>
            <w:noWrap/>
            <w:vAlign w:val="center"/>
          </w:tcPr>
          <w:p>
            <w:pPr>
              <w:widowControl/>
              <w:jc w:val="left"/>
              <w:textAlignment w:val="center"/>
              <w:rPr>
                <w:rFonts w:ascii="宋体" w:hAnsi="宋体" w:eastAsia="宋体" w:cs="宋体"/>
                <w:color w:val="000000"/>
                <w:sz w:val="20"/>
                <w:szCs w:val="20"/>
              </w:rPr>
            </w:pPr>
          </w:p>
        </w:tc>
        <w:tc>
          <w:tcPr>
            <w:tcW w:w="378" w:type="pct"/>
            <w:shd w:val="clear" w:color="auto" w:fill="auto"/>
            <w:noWrap/>
            <w:vAlign w:val="center"/>
          </w:tcPr>
          <w:p>
            <w:pPr>
              <w:widowControl/>
              <w:jc w:val="center"/>
              <w:textAlignment w:val="center"/>
              <w:rPr>
                <w:rFonts w:ascii="宋体" w:hAnsi="宋体" w:eastAsia="宋体" w:cs="宋体"/>
                <w:color w:val="000000"/>
                <w:sz w:val="20"/>
                <w:szCs w:val="20"/>
              </w:rPr>
            </w:pPr>
          </w:p>
        </w:tc>
        <w:tc>
          <w:tcPr>
            <w:tcW w:w="646" w:type="pct"/>
            <w:shd w:val="clear" w:color="auto" w:fill="auto"/>
            <w:vAlign w:val="center"/>
          </w:tcPr>
          <w:p>
            <w:pPr>
              <w:widowControl/>
              <w:jc w:val="left"/>
              <w:textAlignment w:val="center"/>
              <w:rPr>
                <w:rFonts w:ascii="宋体" w:hAnsi="宋体" w:eastAsia="宋体" w:cs="宋体"/>
                <w:color w:val="000000"/>
                <w:sz w:val="20"/>
                <w:szCs w:val="20"/>
              </w:rPr>
            </w:pPr>
          </w:p>
        </w:tc>
        <w:tc>
          <w:tcPr>
            <w:tcW w:w="1178" w:type="pct"/>
            <w:shd w:val="clear" w:color="auto" w:fill="auto"/>
            <w:vAlign w:val="center"/>
          </w:tcPr>
          <w:p>
            <w:pPr>
              <w:widowControl/>
              <w:jc w:val="left"/>
              <w:textAlignment w:val="center"/>
              <w:rPr>
                <w:rFonts w:ascii="宋体" w:hAnsi="宋体" w:eastAsia="宋体" w:cs="宋体"/>
                <w:color w:val="000000"/>
                <w:sz w:val="20"/>
                <w:szCs w:val="20"/>
              </w:rPr>
            </w:pPr>
          </w:p>
        </w:tc>
        <w:tc>
          <w:tcPr>
            <w:tcW w:w="330" w:type="pct"/>
            <w:shd w:val="clear" w:color="auto" w:fill="auto"/>
            <w:noWrap/>
            <w:vAlign w:val="center"/>
          </w:tcPr>
          <w:p>
            <w:pPr>
              <w:widowControl/>
              <w:jc w:val="center"/>
              <w:textAlignment w:val="center"/>
              <w:rPr>
                <w:rFonts w:ascii="宋体" w:hAnsi="宋体" w:eastAsia="宋体" w:cs="宋体"/>
                <w:color w:val="000000"/>
                <w:sz w:val="20"/>
                <w:szCs w:val="20"/>
              </w:rPr>
            </w:pPr>
          </w:p>
        </w:tc>
        <w:tc>
          <w:tcPr>
            <w:tcW w:w="270" w:type="pct"/>
            <w:shd w:val="clear" w:color="auto" w:fill="auto"/>
            <w:noWrap/>
            <w:vAlign w:val="center"/>
          </w:tcPr>
          <w:p>
            <w:pPr>
              <w:widowControl/>
              <w:jc w:val="center"/>
              <w:textAlignment w:val="center"/>
              <w:rPr>
                <w:rFonts w:ascii="宋体" w:hAnsi="宋体" w:eastAsia="宋体" w:cs="宋体"/>
                <w:color w:val="000000"/>
                <w:sz w:val="20"/>
                <w:szCs w:val="20"/>
              </w:rPr>
            </w:pPr>
          </w:p>
        </w:tc>
        <w:tc>
          <w:tcPr>
            <w:tcW w:w="322" w:type="pct"/>
          </w:tcPr>
          <w:p>
            <w:pPr>
              <w:widowControl/>
              <w:jc w:val="center"/>
              <w:textAlignment w:val="center"/>
              <w:rPr>
                <w:rFonts w:ascii="宋体" w:hAnsi="宋体" w:eastAsia="宋体" w:cs="宋体"/>
                <w:color w:val="000000"/>
                <w:kern w:val="0"/>
                <w:sz w:val="20"/>
                <w:szCs w:val="20"/>
                <w:lang w:bidi="ar"/>
              </w:rPr>
            </w:pPr>
          </w:p>
        </w:tc>
        <w:tc>
          <w:tcPr>
            <w:tcW w:w="378" w:type="pct"/>
            <w:shd w:val="clear" w:color="auto" w:fill="auto"/>
            <w:noWrap/>
            <w:vAlign w:val="center"/>
          </w:tcPr>
          <w:p>
            <w:pPr>
              <w:widowControl/>
              <w:jc w:val="center"/>
              <w:textAlignment w:val="center"/>
              <w:rPr>
                <w:rFonts w:ascii="宋体" w:hAnsi="宋体" w:eastAsia="宋体" w:cs="宋体"/>
                <w:color w:val="000000"/>
                <w:kern w:val="0"/>
                <w:sz w:val="20"/>
                <w:szCs w:val="20"/>
                <w:lang w:bidi="ar"/>
              </w:rPr>
            </w:pPr>
          </w:p>
        </w:tc>
        <w:tc>
          <w:tcPr>
            <w:tcW w:w="916" w:type="pct"/>
            <w:shd w:val="clear" w:color="auto" w:fill="auto"/>
            <w:noWrap/>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322" w:type="pct"/>
            <w:shd w:val="clear" w:color="auto" w:fill="auto"/>
            <w:noWrap/>
            <w:vAlign w:val="center"/>
          </w:tcPr>
          <w:p>
            <w:pPr>
              <w:widowControl/>
              <w:jc w:val="left"/>
              <w:textAlignment w:val="center"/>
              <w:rPr>
                <w:rFonts w:ascii="宋体" w:hAnsi="宋体" w:eastAsia="宋体" w:cs="宋体"/>
                <w:color w:val="000000"/>
                <w:sz w:val="20"/>
                <w:szCs w:val="20"/>
              </w:rPr>
            </w:pPr>
          </w:p>
        </w:tc>
        <w:tc>
          <w:tcPr>
            <w:tcW w:w="378" w:type="pct"/>
            <w:shd w:val="clear" w:color="auto" w:fill="auto"/>
            <w:noWrap/>
            <w:vAlign w:val="center"/>
          </w:tcPr>
          <w:p>
            <w:pPr>
              <w:widowControl/>
              <w:jc w:val="center"/>
              <w:textAlignment w:val="center"/>
              <w:rPr>
                <w:rFonts w:ascii="宋体" w:hAnsi="宋体" w:eastAsia="宋体" w:cs="宋体"/>
                <w:color w:val="000000"/>
                <w:sz w:val="20"/>
                <w:szCs w:val="20"/>
              </w:rPr>
            </w:pPr>
          </w:p>
        </w:tc>
        <w:tc>
          <w:tcPr>
            <w:tcW w:w="646" w:type="pct"/>
            <w:shd w:val="clear" w:color="auto" w:fill="auto"/>
            <w:vAlign w:val="center"/>
          </w:tcPr>
          <w:p>
            <w:pPr>
              <w:widowControl/>
              <w:jc w:val="left"/>
              <w:textAlignment w:val="center"/>
              <w:rPr>
                <w:rFonts w:ascii="宋体" w:hAnsi="宋体" w:eastAsia="宋体" w:cs="宋体"/>
                <w:color w:val="000000"/>
                <w:sz w:val="20"/>
                <w:szCs w:val="20"/>
              </w:rPr>
            </w:pPr>
          </w:p>
        </w:tc>
        <w:tc>
          <w:tcPr>
            <w:tcW w:w="1178" w:type="pct"/>
            <w:shd w:val="clear" w:color="auto" w:fill="auto"/>
            <w:vAlign w:val="center"/>
          </w:tcPr>
          <w:p>
            <w:pPr>
              <w:widowControl/>
              <w:jc w:val="left"/>
              <w:textAlignment w:val="center"/>
              <w:rPr>
                <w:rFonts w:ascii="宋体" w:hAnsi="宋体" w:eastAsia="宋体" w:cs="宋体"/>
                <w:color w:val="000000"/>
                <w:sz w:val="20"/>
                <w:szCs w:val="20"/>
              </w:rPr>
            </w:pPr>
          </w:p>
        </w:tc>
        <w:tc>
          <w:tcPr>
            <w:tcW w:w="330" w:type="pct"/>
            <w:shd w:val="clear" w:color="auto" w:fill="auto"/>
            <w:noWrap/>
            <w:vAlign w:val="center"/>
          </w:tcPr>
          <w:p>
            <w:pPr>
              <w:widowControl/>
              <w:jc w:val="center"/>
              <w:textAlignment w:val="center"/>
              <w:rPr>
                <w:rFonts w:ascii="宋体" w:hAnsi="宋体" w:eastAsia="宋体" w:cs="宋体"/>
                <w:color w:val="000000"/>
                <w:sz w:val="20"/>
                <w:szCs w:val="20"/>
              </w:rPr>
            </w:pPr>
          </w:p>
        </w:tc>
        <w:tc>
          <w:tcPr>
            <w:tcW w:w="270" w:type="pct"/>
            <w:shd w:val="clear" w:color="auto" w:fill="auto"/>
            <w:noWrap/>
            <w:vAlign w:val="center"/>
          </w:tcPr>
          <w:p>
            <w:pPr>
              <w:widowControl/>
              <w:jc w:val="center"/>
              <w:textAlignment w:val="center"/>
              <w:rPr>
                <w:rFonts w:ascii="宋体" w:hAnsi="宋体" w:eastAsia="宋体" w:cs="宋体"/>
                <w:color w:val="000000"/>
                <w:sz w:val="20"/>
                <w:szCs w:val="20"/>
              </w:rPr>
            </w:pPr>
          </w:p>
        </w:tc>
        <w:tc>
          <w:tcPr>
            <w:tcW w:w="322" w:type="pct"/>
          </w:tcPr>
          <w:p>
            <w:pPr>
              <w:widowControl/>
              <w:jc w:val="center"/>
              <w:textAlignment w:val="center"/>
              <w:rPr>
                <w:rFonts w:ascii="宋体" w:hAnsi="宋体" w:eastAsia="宋体" w:cs="宋体"/>
                <w:color w:val="000000"/>
                <w:kern w:val="0"/>
                <w:sz w:val="20"/>
                <w:szCs w:val="20"/>
                <w:lang w:bidi="ar"/>
              </w:rPr>
            </w:pPr>
          </w:p>
        </w:tc>
        <w:tc>
          <w:tcPr>
            <w:tcW w:w="378" w:type="pct"/>
            <w:shd w:val="clear" w:color="auto" w:fill="auto"/>
            <w:noWrap/>
            <w:vAlign w:val="center"/>
          </w:tcPr>
          <w:p>
            <w:pPr>
              <w:widowControl/>
              <w:jc w:val="center"/>
              <w:textAlignment w:val="center"/>
              <w:rPr>
                <w:rFonts w:ascii="宋体" w:hAnsi="宋体" w:eastAsia="宋体" w:cs="宋体"/>
                <w:color w:val="000000"/>
                <w:kern w:val="0"/>
                <w:sz w:val="20"/>
                <w:szCs w:val="20"/>
                <w:lang w:bidi="ar"/>
              </w:rPr>
            </w:pPr>
          </w:p>
        </w:tc>
        <w:tc>
          <w:tcPr>
            <w:tcW w:w="916" w:type="pct"/>
            <w:shd w:val="clear" w:color="auto" w:fill="auto"/>
            <w:noWrap/>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25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2" w:type="pct"/>
            <w:shd w:val="clear" w:color="auto" w:fill="auto"/>
            <w:noWrap/>
            <w:vAlign w:val="center"/>
          </w:tcPr>
          <w:p>
            <w:pPr>
              <w:widowControl/>
              <w:jc w:val="left"/>
              <w:textAlignment w:val="center"/>
              <w:rPr>
                <w:rFonts w:ascii="宋体" w:hAnsi="宋体" w:eastAsia="宋体" w:cs="宋体"/>
                <w:color w:val="000000"/>
                <w:sz w:val="20"/>
                <w:szCs w:val="20"/>
              </w:rPr>
            </w:pPr>
          </w:p>
        </w:tc>
        <w:tc>
          <w:tcPr>
            <w:tcW w:w="378" w:type="pct"/>
            <w:shd w:val="clear" w:color="auto" w:fill="auto"/>
            <w:noWrap/>
            <w:vAlign w:val="center"/>
          </w:tcPr>
          <w:p>
            <w:pPr>
              <w:widowControl/>
              <w:jc w:val="center"/>
              <w:textAlignment w:val="center"/>
              <w:rPr>
                <w:rFonts w:ascii="宋体" w:hAnsi="宋体" w:eastAsia="宋体" w:cs="宋体"/>
                <w:color w:val="000000"/>
                <w:sz w:val="20"/>
                <w:szCs w:val="20"/>
              </w:rPr>
            </w:pPr>
          </w:p>
        </w:tc>
        <w:tc>
          <w:tcPr>
            <w:tcW w:w="646" w:type="pct"/>
            <w:shd w:val="clear" w:color="auto" w:fill="auto"/>
            <w:vAlign w:val="center"/>
          </w:tcPr>
          <w:p>
            <w:pPr>
              <w:widowControl/>
              <w:jc w:val="left"/>
              <w:textAlignment w:val="center"/>
              <w:rPr>
                <w:rFonts w:ascii="宋体" w:hAnsi="宋体" w:eastAsia="宋体" w:cs="宋体"/>
                <w:color w:val="000000"/>
                <w:sz w:val="20"/>
                <w:szCs w:val="20"/>
              </w:rPr>
            </w:pPr>
          </w:p>
        </w:tc>
        <w:tc>
          <w:tcPr>
            <w:tcW w:w="1178" w:type="pct"/>
            <w:shd w:val="clear" w:color="auto" w:fill="auto"/>
            <w:vAlign w:val="center"/>
          </w:tcPr>
          <w:p>
            <w:pPr>
              <w:widowControl/>
              <w:jc w:val="left"/>
              <w:textAlignment w:val="center"/>
              <w:rPr>
                <w:rFonts w:ascii="宋体" w:hAnsi="宋体" w:eastAsia="宋体" w:cs="宋体"/>
                <w:color w:val="000000"/>
                <w:sz w:val="20"/>
                <w:szCs w:val="20"/>
              </w:rPr>
            </w:pPr>
          </w:p>
        </w:tc>
        <w:tc>
          <w:tcPr>
            <w:tcW w:w="330" w:type="pct"/>
            <w:shd w:val="clear" w:color="auto" w:fill="auto"/>
            <w:noWrap/>
            <w:vAlign w:val="center"/>
          </w:tcPr>
          <w:p>
            <w:pPr>
              <w:widowControl/>
              <w:jc w:val="center"/>
              <w:textAlignment w:val="center"/>
              <w:rPr>
                <w:rFonts w:ascii="宋体" w:hAnsi="宋体" w:eastAsia="宋体" w:cs="宋体"/>
                <w:color w:val="000000"/>
                <w:sz w:val="20"/>
                <w:szCs w:val="20"/>
              </w:rPr>
            </w:pPr>
          </w:p>
        </w:tc>
        <w:tc>
          <w:tcPr>
            <w:tcW w:w="270" w:type="pct"/>
            <w:shd w:val="clear" w:color="auto" w:fill="auto"/>
            <w:noWrap/>
            <w:vAlign w:val="center"/>
          </w:tcPr>
          <w:p>
            <w:pPr>
              <w:widowControl/>
              <w:jc w:val="center"/>
              <w:textAlignment w:val="center"/>
              <w:rPr>
                <w:rFonts w:ascii="宋体" w:hAnsi="宋体" w:eastAsia="宋体" w:cs="宋体"/>
                <w:color w:val="000000"/>
                <w:sz w:val="20"/>
                <w:szCs w:val="20"/>
              </w:rPr>
            </w:pPr>
          </w:p>
        </w:tc>
        <w:tc>
          <w:tcPr>
            <w:tcW w:w="322" w:type="pct"/>
          </w:tcPr>
          <w:p>
            <w:pPr>
              <w:widowControl/>
              <w:jc w:val="center"/>
              <w:textAlignment w:val="center"/>
              <w:rPr>
                <w:rFonts w:ascii="宋体" w:hAnsi="宋体" w:eastAsia="宋体" w:cs="宋体"/>
                <w:color w:val="000000"/>
                <w:kern w:val="0"/>
                <w:sz w:val="20"/>
                <w:szCs w:val="20"/>
                <w:lang w:bidi="ar"/>
              </w:rPr>
            </w:pPr>
          </w:p>
        </w:tc>
        <w:tc>
          <w:tcPr>
            <w:tcW w:w="378" w:type="pct"/>
            <w:shd w:val="clear" w:color="auto" w:fill="auto"/>
            <w:vAlign w:val="center"/>
          </w:tcPr>
          <w:p>
            <w:pPr>
              <w:widowControl/>
              <w:jc w:val="center"/>
              <w:textAlignment w:val="center"/>
              <w:rPr>
                <w:rFonts w:ascii="宋体" w:hAnsi="宋体" w:eastAsia="宋体" w:cs="宋体"/>
                <w:color w:val="000000"/>
                <w:kern w:val="0"/>
                <w:sz w:val="20"/>
                <w:szCs w:val="20"/>
                <w:lang w:bidi="ar"/>
              </w:rPr>
            </w:pPr>
          </w:p>
        </w:tc>
        <w:tc>
          <w:tcPr>
            <w:tcW w:w="916" w:type="pct"/>
            <w:shd w:val="clear" w:color="auto" w:fill="auto"/>
            <w:vAlign w:val="center"/>
          </w:tcPr>
          <w:p>
            <w:pPr>
              <w:widowControl/>
              <w:jc w:val="left"/>
              <w:textAlignment w:val="cente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257" w:type="pct"/>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322" w:type="pct"/>
            <w:shd w:val="clear" w:color="auto" w:fill="auto"/>
            <w:noWrap/>
            <w:vAlign w:val="center"/>
          </w:tcPr>
          <w:p>
            <w:pPr>
              <w:widowControl/>
              <w:jc w:val="left"/>
              <w:textAlignment w:val="center"/>
              <w:rPr>
                <w:rFonts w:ascii="宋体" w:hAnsi="宋体" w:eastAsia="宋体" w:cs="宋体"/>
                <w:color w:val="000000"/>
                <w:sz w:val="20"/>
                <w:szCs w:val="20"/>
              </w:rPr>
            </w:pPr>
          </w:p>
        </w:tc>
        <w:tc>
          <w:tcPr>
            <w:tcW w:w="378" w:type="pct"/>
            <w:shd w:val="clear" w:color="auto" w:fill="auto"/>
            <w:noWrap/>
            <w:vAlign w:val="center"/>
          </w:tcPr>
          <w:p>
            <w:pPr>
              <w:widowControl/>
              <w:jc w:val="center"/>
              <w:textAlignment w:val="center"/>
              <w:rPr>
                <w:rFonts w:ascii="宋体" w:hAnsi="宋体" w:eastAsia="宋体" w:cs="宋体"/>
                <w:color w:val="000000"/>
                <w:sz w:val="20"/>
                <w:szCs w:val="20"/>
              </w:rPr>
            </w:pPr>
          </w:p>
        </w:tc>
        <w:tc>
          <w:tcPr>
            <w:tcW w:w="646" w:type="pct"/>
            <w:shd w:val="clear" w:color="auto" w:fill="auto"/>
            <w:vAlign w:val="center"/>
          </w:tcPr>
          <w:p>
            <w:pPr>
              <w:widowControl/>
              <w:jc w:val="left"/>
              <w:textAlignment w:val="center"/>
              <w:rPr>
                <w:rFonts w:ascii="宋体" w:hAnsi="宋体" w:eastAsia="宋体" w:cs="宋体"/>
                <w:color w:val="000000"/>
                <w:sz w:val="20"/>
                <w:szCs w:val="20"/>
              </w:rPr>
            </w:pPr>
          </w:p>
        </w:tc>
        <w:tc>
          <w:tcPr>
            <w:tcW w:w="1178" w:type="pct"/>
            <w:shd w:val="clear" w:color="auto" w:fill="auto"/>
            <w:vAlign w:val="center"/>
          </w:tcPr>
          <w:p>
            <w:pPr>
              <w:widowControl/>
              <w:jc w:val="left"/>
              <w:textAlignment w:val="center"/>
              <w:rPr>
                <w:rFonts w:ascii="宋体" w:hAnsi="宋体" w:eastAsia="宋体" w:cs="宋体"/>
                <w:color w:val="000000"/>
                <w:sz w:val="20"/>
                <w:szCs w:val="20"/>
              </w:rPr>
            </w:pPr>
          </w:p>
        </w:tc>
        <w:tc>
          <w:tcPr>
            <w:tcW w:w="330" w:type="pct"/>
            <w:shd w:val="clear" w:color="auto" w:fill="auto"/>
            <w:noWrap/>
            <w:vAlign w:val="center"/>
          </w:tcPr>
          <w:p>
            <w:pPr>
              <w:widowControl/>
              <w:jc w:val="center"/>
              <w:textAlignment w:val="center"/>
              <w:rPr>
                <w:rFonts w:ascii="宋体" w:hAnsi="宋体" w:eastAsia="宋体" w:cs="宋体"/>
                <w:color w:val="000000"/>
                <w:sz w:val="20"/>
                <w:szCs w:val="20"/>
              </w:rPr>
            </w:pPr>
          </w:p>
        </w:tc>
        <w:tc>
          <w:tcPr>
            <w:tcW w:w="270" w:type="pct"/>
            <w:shd w:val="clear" w:color="auto" w:fill="auto"/>
            <w:noWrap/>
            <w:vAlign w:val="center"/>
          </w:tcPr>
          <w:p>
            <w:pPr>
              <w:widowControl/>
              <w:jc w:val="center"/>
              <w:textAlignment w:val="center"/>
              <w:rPr>
                <w:rFonts w:ascii="宋体" w:hAnsi="宋体" w:eastAsia="宋体" w:cs="宋体"/>
                <w:color w:val="000000"/>
                <w:sz w:val="20"/>
                <w:szCs w:val="20"/>
              </w:rPr>
            </w:pPr>
          </w:p>
        </w:tc>
        <w:tc>
          <w:tcPr>
            <w:tcW w:w="322" w:type="pct"/>
          </w:tcPr>
          <w:p>
            <w:pPr>
              <w:widowControl/>
              <w:jc w:val="center"/>
              <w:textAlignment w:val="center"/>
              <w:rPr>
                <w:rFonts w:ascii="宋体" w:hAnsi="宋体" w:eastAsia="宋体" w:cs="宋体"/>
                <w:color w:val="000000"/>
                <w:kern w:val="0"/>
                <w:sz w:val="20"/>
                <w:szCs w:val="20"/>
                <w:lang w:bidi="ar"/>
              </w:rPr>
            </w:pPr>
          </w:p>
        </w:tc>
        <w:tc>
          <w:tcPr>
            <w:tcW w:w="378" w:type="pct"/>
            <w:shd w:val="clear" w:color="auto" w:fill="auto"/>
            <w:noWrap/>
            <w:vAlign w:val="center"/>
          </w:tcPr>
          <w:p>
            <w:pPr>
              <w:widowControl/>
              <w:jc w:val="center"/>
              <w:textAlignment w:val="center"/>
              <w:rPr>
                <w:rFonts w:ascii="宋体" w:hAnsi="宋体" w:eastAsia="宋体" w:cs="宋体"/>
                <w:color w:val="000000"/>
                <w:kern w:val="0"/>
                <w:sz w:val="20"/>
                <w:szCs w:val="20"/>
                <w:lang w:bidi="ar"/>
              </w:rPr>
            </w:pPr>
          </w:p>
        </w:tc>
        <w:tc>
          <w:tcPr>
            <w:tcW w:w="916" w:type="pct"/>
            <w:shd w:val="clear" w:color="auto" w:fill="auto"/>
            <w:noWrap/>
            <w:vAlign w:val="center"/>
          </w:tcPr>
          <w:p>
            <w:pPr>
              <w:rPr>
                <w:rFonts w:ascii="宋体" w:hAnsi="宋体" w:eastAsia="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10"/>
            <w:shd w:val="clear" w:color="auto" w:fill="auto"/>
            <w:noWrap/>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合计金额</w:t>
            </w:r>
            <w:r>
              <w:rPr>
                <w:rFonts w:ascii="宋体" w:hAnsi="宋体" w:eastAsia="宋体" w:cs="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10"/>
            <w:shd w:val="clear" w:color="auto" w:fill="auto"/>
            <w:noWrap/>
            <w:vAlign w:val="center"/>
          </w:tcPr>
          <w:p>
            <w:pPr>
              <w:rPr>
                <w:rFonts w:ascii="宋体" w:hAnsi="宋体" w:eastAsia="宋体" w:cs="宋体"/>
                <w:color w:val="C00000"/>
                <w:sz w:val="20"/>
                <w:szCs w:val="20"/>
              </w:rPr>
            </w:pPr>
            <w:r>
              <w:rPr>
                <w:rFonts w:hint="eastAsia" w:ascii="宋体" w:hAnsi="宋体" w:eastAsia="宋体" w:cs="宋体"/>
                <w:color w:val="C00000"/>
                <w:sz w:val="20"/>
                <w:szCs w:val="20"/>
              </w:rPr>
              <w:t>备注</w:t>
            </w:r>
            <w:r>
              <w:rPr>
                <w:rFonts w:ascii="宋体" w:hAnsi="宋体" w:eastAsia="宋体" w:cs="宋体"/>
                <w:color w:val="C00000"/>
                <w:sz w:val="20"/>
                <w:szCs w:val="20"/>
              </w:rPr>
              <w:t>：</w:t>
            </w:r>
            <w:r>
              <w:rPr>
                <w:rFonts w:hint="eastAsia" w:ascii="宋体" w:hAnsi="宋体" w:eastAsia="宋体" w:cs="宋体"/>
                <w:b/>
                <w:color w:val="C00000"/>
                <w:sz w:val="20"/>
                <w:szCs w:val="20"/>
              </w:rPr>
              <w:t>技术标和</w:t>
            </w:r>
            <w:r>
              <w:rPr>
                <w:rFonts w:ascii="宋体" w:hAnsi="宋体" w:eastAsia="宋体" w:cs="宋体"/>
                <w:b/>
                <w:color w:val="C00000"/>
                <w:sz w:val="20"/>
                <w:szCs w:val="20"/>
              </w:rPr>
              <w:t>商务标请</w:t>
            </w:r>
            <w:r>
              <w:rPr>
                <w:rFonts w:hint="eastAsia" w:ascii="宋体" w:hAnsi="宋体" w:eastAsia="宋体" w:cs="宋体"/>
                <w:b/>
                <w:color w:val="C00000"/>
                <w:sz w:val="20"/>
                <w:szCs w:val="20"/>
              </w:rPr>
              <w:t>分开</w:t>
            </w:r>
            <w:r>
              <w:rPr>
                <w:rFonts w:ascii="宋体" w:hAnsi="宋体" w:eastAsia="宋体" w:cs="宋体"/>
                <w:b/>
                <w:color w:val="C00000"/>
                <w:sz w:val="20"/>
                <w:szCs w:val="20"/>
              </w:rPr>
              <w:t>装订。</w:t>
            </w:r>
          </w:p>
          <w:p>
            <w:pPr>
              <w:rPr>
                <w:rFonts w:ascii="宋体" w:hAnsi="宋体" w:eastAsia="宋体" w:cs="宋体"/>
                <w:color w:val="C00000"/>
                <w:sz w:val="20"/>
                <w:szCs w:val="20"/>
              </w:rPr>
            </w:pPr>
            <w:r>
              <w:rPr>
                <w:rFonts w:hint="eastAsia" w:ascii="宋体" w:hAnsi="宋体" w:eastAsia="宋体" w:cs="宋体"/>
                <w:color w:val="C00000"/>
                <w:sz w:val="20"/>
                <w:szCs w:val="20"/>
              </w:rPr>
              <w:t>1、此报价包含13%税点，如其他情况注明。</w:t>
            </w:r>
          </w:p>
          <w:p>
            <w:pPr>
              <w:rPr>
                <w:rFonts w:ascii="宋体" w:hAnsi="宋体" w:eastAsia="宋体" w:cs="宋体"/>
                <w:color w:val="C00000"/>
                <w:sz w:val="20"/>
                <w:szCs w:val="20"/>
              </w:rPr>
            </w:pPr>
            <w:r>
              <w:rPr>
                <w:rFonts w:hint="eastAsia" w:ascii="宋体" w:hAnsi="宋体" w:eastAsia="宋体" w:cs="宋体"/>
                <w:color w:val="C00000"/>
                <w:sz w:val="20"/>
                <w:szCs w:val="20"/>
              </w:rPr>
              <w:t>2、本页必须加盖公章。</w:t>
            </w:r>
          </w:p>
          <w:p>
            <w:pPr>
              <w:rPr>
                <w:rFonts w:ascii="宋体" w:hAnsi="宋体" w:eastAsia="宋体" w:cs="宋体"/>
                <w:color w:val="C00000"/>
                <w:sz w:val="20"/>
                <w:szCs w:val="20"/>
              </w:rPr>
            </w:pPr>
            <w:r>
              <w:rPr>
                <w:rFonts w:hint="eastAsia" w:ascii="宋体" w:hAnsi="宋体" w:eastAsia="宋体" w:cs="宋体"/>
                <w:color w:val="C00000"/>
                <w:sz w:val="20"/>
                <w:szCs w:val="20"/>
              </w:rPr>
              <w:t>3、此报价包含13%增值税发票和运费等。</w:t>
            </w:r>
          </w:p>
          <w:p>
            <w:pPr>
              <w:rPr>
                <w:rFonts w:ascii="宋体" w:hAnsi="宋体" w:eastAsia="宋体" w:cs="宋体"/>
                <w:color w:val="C00000"/>
                <w:sz w:val="20"/>
                <w:szCs w:val="20"/>
              </w:rPr>
            </w:pPr>
            <w:r>
              <w:rPr>
                <w:rFonts w:hint="eastAsia" w:ascii="宋体" w:hAnsi="宋体" w:eastAsia="宋体" w:cs="宋体"/>
                <w:color w:val="C00000"/>
                <w:sz w:val="20"/>
                <w:szCs w:val="20"/>
              </w:rPr>
              <w:t>4、安装周期</w:t>
            </w:r>
            <w:r>
              <w:rPr>
                <w:rFonts w:hint="eastAsia" w:ascii="宋体" w:hAnsi="宋体" w:eastAsia="宋体" w:cs="宋体"/>
                <w:color w:val="C00000"/>
                <w:sz w:val="20"/>
                <w:szCs w:val="20"/>
                <w:lang w:val="en-US" w:eastAsia="zh-CN"/>
              </w:rPr>
              <w:t>30</w:t>
            </w:r>
            <w:r>
              <w:rPr>
                <w:rFonts w:hint="eastAsia" w:ascii="宋体" w:hAnsi="宋体" w:eastAsia="宋体" w:cs="宋体"/>
                <w:color w:val="C00000"/>
                <w:sz w:val="20"/>
                <w:szCs w:val="20"/>
              </w:rPr>
              <w:t>天，如不能响应，请注明。</w:t>
            </w:r>
          </w:p>
          <w:p>
            <w:pPr>
              <w:rPr>
                <w:rFonts w:ascii="宋体" w:hAnsi="宋体" w:eastAsia="宋体" w:cs="宋体"/>
                <w:color w:val="C00000"/>
                <w:sz w:val="20"/>
                <w:szCs w:val="20"/>
              </w:rPr>
            </w:pPr>
            <w:r>
              <w:rPr>
                <w:rFonts w:hint="eastAsia" w:ascii="宋体" w:hAnsi="宋体" w:eastAsia="宋体" w:cs="宋体"/>
                <w:color w:val="C00000"/>
                <w:sz w:val="20"/>
                <w:szCs w:val="20"/>
              </w:rPr>
              <w:t>5、请随标书提供营业执照。</w:t>
            </w:r>
          </w:p>
          <w:p>
            <w:pPr>
              <w:rPr>
                <w:rFonts w:ascii="宋体" w:hAnsi="宋体" w:eastAsia="宋体" w:cs="宋体"/>
                <w:b/>
                <w:color w:val="000000"/>
                <w:sz w:val="20"/>
                <w:szCs w:val="20"/>
              </w:rPr>
            </w:pPr>
          </w:p>
        </w:tc>
      </w:tr>
    </w:tbl>
    <w:p>
      <w:pPr>
        <w:rPr>
          <w:sz w:val="20"/>
          <w:szCs w:val="20"/>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Neu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AF2D0"/>
    <w:multiLevelType w:val="singleLevel"/>
    <w:tmpl w:val="561AF2D0"/>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049BA"/>
    <w:rsid w:val="00010319"/>
    <w:rsid w:val="00025FAC"/>
    <w:rsid w:val="00031C6D"/>
    <w:rsid w:val="00040F0E"/>
    <w:rsid w:val="00045592"/>
    <w:rsid w:val="00071144"/>
    <w:rsid w:val="0009416B"/>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83F93"/>
    <w:rsid w:val="001B15F0"/>
    <w:rsid w:val="001C1069"/>
    <w:rsid w:val="001E64ED"/>
    <w:rsid w:val="00224475"/>
    <w:rsid w:val="0025310E"/>
    <w:rsid w:val="00267035"/>
    <w:rsid w:val="00274311"/>
    <w:rsid w:val="0028653C"/>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C74A6"/>
    <w:rsid w:val="003F7F32"/>
    <w:rsid w:val="00450BF7"/>
    <w:rsid w:val="00456AD1"/>
    <w:rsid w:val="00461C70"/>
    <w:rsid w:val="0048223B"/>
    <w:rsid w:val="00493829"/>
    <w:rsid w:val="004A0767"/>
    <w:rsid w:val="004A2B2E"/>
    <w:rsid w:val="004A3F36"/>
    <w:rsid w:val="004B2AB2"/>
    <w:rsid w:val="004D1947"/>
    <w:rsid w:val="004E4E03"/>
    <w:rsid w:val="00505527"/>
    <w:rsid w:val="00510CC6"/>
    <w:rsid w:val="00512E43"/>
    <w:rsid w:val="005209B5"/>
    <w:rsid w:val="005361D9"/>
    <w:rsid w:val="00553E8B"/>
    <w:rsid w:val="00575C04"/>
    <w:rsid w:val="00582BD6"/>
    <w:rsid w:val="005A4D44"/>
    <w:rsid w:val="005A5F80"/>
    <w:rsid w:val="005A6410"/>
    <w:rsid w:val="005E569B"/>
    <w:rsid w:val="005E5CC3"/>
    <w:rsid w:val="005F0263"/>
    <w:rsid w:val="00607A01"/>
    <w:rsid w:val="00611779"/>
    <w:rsid w:val="0061330D"/>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03BA"/>
    <w:rsid w:val="00815DDA"/>
    <w:rsid w:val="00816FA2"/>
    <w:rsid w:val="008329EB"/>
    <w:rsid w:val="00832F80"/>
    <w:rsid w:val="00841025"/>
    <w:rsid w:val="00845F49"/>
    <w:rsid w:val="00847481"/>
    <w:rsid w:val="00852484"/>
    <w:rsid w:val="00855D00"/>
    <w:rsid w:val="008607B3"/>
    <w:rsid w:val="008637A2"/>
    <w:rsid w:val="008733B6"/>
    <w:rsid w:val="00883654"/>
    <w:rsid w:val="008B2DE9"/>
    <w:rsid w:val="008E63AE"/>
    <w:rsid w:val="008F5810"/>
    <w:rsid w:val="008F6DFA"/>
    <w:rsid w:val="0096751A"/>
    <w:rsid w:val="009A1747"/>
    <w:rsid w:val="009F10BA"/>
    <w:rsid w:val="00A0374C"/>
    <w:rsid w:val="00A1247B"/>
    <w:rsid w:val="00A15A8D"/>
    <w:rsid w:val="00A37CBD"/>
    <w:rsid w:val="00A4367E"/>
    <w:rsid w:val="00A54250"/>
    <w:rsid w:val="00A557E9"/>
    <w:rsid w:val="00A57D3E"/>
    <w:rsid w:val="00A75594"/>
    <w:rsid w:val="00A85561"/>
    <w:rsid w:val="00AA2234"/>
    <w:rsid w:val="00AB03D0"/>
    <w:rsid w:val="00AC1ADA"/>
    <w:rsid w:val="00B03B9A"/>
    <w:rsid w:val="00B2599F"/>
    <w:rsid w:val="00B67268"/>
    <w:rsid w:val="00B76FED"/>
    <w:rsid w:val="00B85243"/>
    <w:rsid w:val="00BA614A"/>
    <w:rsid w:val="00BE5B46"/>
    <w:rsid w:val="00C07DC0"/>
    <w:rsid w:val="00C202F1"/>
    <w:rsid w:val="00C24695"/>
    <w:rsid w:val="00C27687"/>
    <w:rsid w:val="00C55922"/>
    <w:rsid w:val="00C57EEE"/>
    <w:rsid w:val="00C7415B"/>
    <w:rsid w:val="00C80501"/>
    <w:rsid w:val="00C806C3"/>
    <w:rsid w:val="00C943A9"/>
    <w:rsid w:val="00CB7EE7"/>
    <w:rsid w:val="00CC2F22"/>
    <w:rsid w:val="00CD4BD3"/>
    <w:rsid w:val="00CE21E2"/>
    <w:rsid w:val="00CE22B5"/>
    <w:rsid w:val="00CE5376"/>
    <w:rsid w:val="00D075E8"/>
    <w:rsid w:val="00D20D5C"/>
    <w:rsid w:val="00D2699D"/>
    <w:rsid w:val="00D36004"/>
    <w:rsid w:val="00D369E2"/>
    <w:rsid w:val="00D40FCF"/>
    <w:rsid w:val="00D42C5A"/>
    <w:rsid w:val="00D43021"/>
    <w:rsid w:val="00D47B16"/>
    <w:rsid w:val="00D72A95"/>
    <w:rsid w:val="00D778C0"/>
    <w:rsid w:val="00D97BEB"/>
    <w:rsid w:val="00DC24E1"/>
    <w:rsid w:val="00DE5125"/>
    <w:rsid w:val="00E134CD"/>
    <w:rsid w:val="00E77A0A"/>
    <w:rsid w:val="00E83551"/>
    <w:rsid w:val="00E839AF"/>
    <w:rsid w:val="00E87099"/>
    <w:rsid w:val="00E96495"/>
    <w:rsid w:val="00EB1C34"/>
    <w:rsid w:val="00EB200D"/>
    <w:rsid w:val="00EC1B56"/>
    <w:rsid w:val="00EC2EDB"/>
    <w:rsid w:val="00EC448C"/>
    <w:rsid w:val="00EF3A51"/>
    <w:rsid w:val="00EF5FE6"/>
    <w:rsid w:val="00F1034D"/>
    <w:rsid w:val="00F20234"/>
    <w:rsid w:val="00F25100"/>
    <w:rsid w:val="00F44ACE"/>
    <w:rsid w:val="00F55BF4"/>
    <w:rsid w:val="00F64352"/>
    <w:rsid w:val="00F81E7A"/>
    <w:rsid w:val="00F85E1B"/>
    <w:rsid w:val="00F9338A"/>
    <w:rsid w:val="00FA1ACB"/>
    <w:rsid w:val="00FA433A"/>
    <w:rsid w:val="00FC2D69"/>
    <w:rsid w:val="00FF3A97"/>
    <w:rsid w:val="00FF7CCF"/>
    <w:rsid w:val="05A33A7C"/>
    <w:rsid w:val="07B47785"/>
    <w:rsid w:val="086A7661"/>
    <w:rsid w:val="0BB27ECE"/>
    <w:rsid w:val="111454CC"/>
    <w:rsid w:val="11532E91"/>
    <w:rsid w:val="11BF695B"/>
    <w:rsid w:val="146D1F2A"/>
    <w:rsid w:val="15D408DC"/>
    <w:rsid w:val="17325FE0"/>
    <w:rsid w:val="17FC50C6"/>
    <w:rsid w:val="23D42313"/>
    <w:rsid w:val="298239F7"/>
    <w:rsid w:val="2B9E44AF"/>
    <w:rsid w:val="2EB20720"/>
    <w:rsid w:val="3034775C"/>
    <w:rsid w:val="33B17B71"/>
    <w:rsid w:val="3BD81843"/>
    <w:rsid w:val="40F878D4"/>
    <w:rsid w:val="41C16A06"/>
    <w:rsid w:val="42330824"/>
    <w:rsid w:val="44EA674E"/>
    <w:rsid w:val="48324E1C"/>
    <w:rsid w:val="4850479F"/>
    <w:rsid w:val="4C814CB3"/>
    <w:rsid w:val="4CEC1B7A"/>
    <w:rsid w:val="4D791A64"/>
    <w:rsid w:val="4E3253B2"/>
    <w:rsid w:val="50D53C5E"/>
    <w:rsid w:val="56E959AA"/>
    <w:rsid w:val="5E7D2F0B"/>
    <w:rsid w:val="653D6431"/>
    <w:rsid w:val="67180A49"/>
    <w:rsid w:val="6836570F"/>
    <w:rsid w:val="696900C1"/>
    <w:rsid w:val="69E7646F"/>
    <w:rsid w:val="6C9F28D0"/>
    <w:rsid w:val="6D5C26AD"/>
    <w:rsid w:val="6DAC071B"/>
    <w:rsid w:val="6E6E333D"/>
    <w:rsid w:val="71B733AD"/>
    <w:rsid w:val="740B2994"/>
    <w:rsid w:val="751304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font3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ascii="Arial" w:hAnsi="Arial" w:cs="Arial"/>
      <w:color w:val="000000"/>
      <w:sz w:val="20"/>
      <w:szCs w:val="20"/>
      <w:u w:val="none"/>
    </w:rPr>
  </w:style>
  <w:style w:type="character" w:customStyle="1" w:styleId="12">
    <w:name w:val="font41"/>
    <w:basedOn w:val="6"/>
    <w:qFormat/>
    <w:uiPriority w:val="0"/>
    <w:rPr>
      <w:rFonts w:hint="eastAsia" w:ascii="宋体" w:hAnsi="宋体" w:eastAsia="宋体" w:cs="宋体"/>
      <w:color w:val="000000"/>
      <w:sz w:val="20"/>
      <w:szCs w:val="20"/>
      <w:u w:val="none"/>
    </w:rPr>
  </w:style>
  <w:style w:type="character" w:customStyle="1" w:styleId="13">
    <w:name w:val="font21"/>
    <w:basedOn w:val="6"/>
    <w:qFormat/>
    <w:uiPriority w:val="0"/>
    <w:rPr>
      <w:rFonts w:ascii="Helvetica Neue" w:hAnsi="Helvetica Neue" w:eastAsia="Helvetica Neue" w:cs="Helvetica Neue"/>
      <w:color w:val="FF2600"/>
      <w:sz w:val="20"/>
      <w:szCs w:val="20"/>
      <w:u w:val="none"/>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53778B-BCA6-48FF-9F95-7BB1063E7A8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509</Words>
  <Characters>2905</Characters>
  <Lines>24</Lines>
  <Paragraphs>6</Paragraphs>
  <TotalTime>12</TotalTime>
  <ScaleCrop>false</ScaleCrop>
  <LinksUpToDate>false</LinksUpToDate>
  <CharactersWithSpaces>3408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  足迹</cp:lastModifiedBy>
  <dcterms:modified xsi:type="dcterms:W3CDTF">2021-12-10T08:43:56Z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EC7FA1BD237B4C32BA204CA897EAA7FC</vt:lpwstr>
  </property>
</Properties>
</file>