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1807" w:firstLineChars="500"/>
        <w:jc w:val="left"/>
        <w:rPr>
          <w:rFonts w:hint="eastAsia" w:ascii="宋体" w:hAnsi="宋体" w:eastAsia="宋体" w:cs="宋体"/>
          <w:b/>
          <w:bCs/>
          <w:color w:val="000000"/>
          <w:kern w:val="0"/>
          <w:sz w:val="36"/>
          <w:szCs w:val="36"/>
          <w:lang w:val="en-US" w:eastAsia="zh-CN"/>
        </w:rPr>
      </w:pPr>
      <w:r>
        <w:rPr>
          <w:rFonts w:hint="eastAsia" w:ascii="宋体" w:hAnsi="宋体" w:eastAsia="宋体" w:cs="宋体"/>
          <w:b/>
          <w:bCs/>
          <w:color w:val="000000"/>
          <w:kern w:val="0"/>
          <w:sz w:val="36"/>
          <w:szCs w:val="36"/>
          <w:lang w:val="en-US" w:eastAsia="zh-CN"/>
        </w:rPr>
        <w:t>汽车拆解油水分离器采购</w:t>
      </w:r>
    </w:p>
    <w:p>
      <w:pPr>
        <w:widowControl/>
        <w:shd w:val="clear" w:color="auto" w:fill="FFFFFF"/>
        <w:spacing w:before="156" w:line="228" w:lineRule="atLeast"/>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一、投标邀请</w:t>
      </w:r>
    </w:p>
    <w:p>
      <w:pPr>
        <w:widowControl/>
        <w:shd w:val="clear" w:color="auto" w:fill="FFFFFF"/>
        <w:spacing w:before="156" w:line="360" w:lineRule="auto"/>
        <w:ind w:firstLine="480" w:firstLineChars="200"/>
        <w:rPr>
          <w:rFonts w:ascii="宋体" w:hAnsi="宋体" w:cs="Arial"/>
          <w:sz w:val="24"/>
          <w:szCs w:val="24"/>
        </w:rPr>
      </w:pPr>
      <w:r>
        <w:rPr>
          <w:rFonts w:hint="eastAsia" w:ascii="宋体" w:hAnsi="宋体" w:cs="Arial"/>
          <w:sz w:val="24"/>
          <w:szCs w:val="24"/>
        </w:rPr>
        <w:t>鑫广绿环再生资源股份有限公司现对</w:t>
      </w:r>
      <w:r>
        <w:rPr>
          <w:rFonts w:hint="eastAsia" w:ascii="微软雅黑" w:hAnsi="微软雅黑" w:eastAsia="微软雅黑" w:cs="微软雅黑"/>
          <w:b w:val="0"/>
          <w:bCs w:val="0"/>
          <w:i w:val="0"/>
          <w:iCs w:val="0"/>
          <w:caps w:val="0"/>
          <w:color w:val="000000"/>
          <w:spacing w:val="0"/>
          <w:sz w:val="24"/>
          <w:szCs w:val="24"/>
        </w:rPr>
        <w:t>鑫广绿环</w:t>
      </w:r>
      <w:r>
        <w:rPr>
          <w:rFonts w:hint="eastAsia" w:ascii="微软雅黑" w:hAnsi="微软雅黑" w:eastAsia="微软雅黑" w:cs="微软雅黑"/>
          <w:b w:val="0"/>
          <w:bCs w:val="0"/>
          <w:i w:val="0"/>
          <w:iCs w:val="0"/>
          <w:caps w:val="0"/>
          <w:color w:val="000000"/>
          <w:spacing w:val="0"/>
          <w:sz w:val="24"/>
          <w:szCs w:val="24"/>
          <w:lang w:val="en-US" w:eastAsia="zh-CN"/>
        </w:rPr>
        <w:t>汽车拆解油水分离器</w:t>
      </w:r>
      <w:r>
        <w:rPr>
          <w:rFonts w:hint="eastAsia" w:ascii="宋体" w:hAnsi="宋体" w:cs="Arial"/>
          <w:sz w:val="24"/>
          <w:szCs w:val="24"/>
        </w:rPr>
        <w:t>采购项目进行招标，特邀请贵公司参加投标。</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jc w:val="left"/>
        <w:rPr>
          <w:rFonts w:hint="eastAsia" w:ascii="微软雅黑" w:hAnsi="微软雅黑" w:eastAsia="微软雅黑" w:cs="微软雅黑"/>
          <w:b w:val="0"/>
          <w:bCs w:val="0"/>
          <w:i w:val="0"/>
          <w:iCs w:val="0"/>
          <w:caps w:val="0"/>
          <w:color w:val="000000"/>
          <w:spacing w:val="0"/>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w:t>
      </w:r>
      <w:r>
        <w:rPr>
          <w:rFonts w:hint="eastAsia" w:ascii="微软雅黑" w:hAnsi="微软雅黑" w:eastAsia="微软雅黑" w:cs="微软雅黑"/>
          <w:b w:val="0"/>
          <w:bCs w:val="0"/>
          <w:i w:val="0"/>
          <w:iCs w:val="0"/>
          <w:caps w:val="0"/>
          <w:color w:val="000000"/>
          <w:spacing w:val="0"/>
          <w:sz w:val="24"/>
          <w:szCs w:val="24"/>
        </w:rPr>
        <w:t>鑫广绿环</w:t>
      </w:r>
      <w:r>
        <w:rPr>
          <w:rFonts w:hint="eastAsia" w:ascii="微软雅黑" w:hAnsi="微软雅黑" w:eastAsia="微软雅黑" w:cs="微软雅黑"/>
          <w:b w:val="0"/>
          <w:bCs w:val="0"/>
          <w:i w:val="0"/>
          <w:iCs w:val="0"/>
          <w:caps w:val="0"/>
          <w:color w:val="000000"/>
          <w:spacing w:val="0"/>
          <w:sz w:val="24"/>
          <w:szCs w:val="24"/>
          <w:lang w:val="en-US" w:eastAsia="zh-CN"/>
        </w:rPr>
        <w:t>汽车拆解油水分离器</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21年</w:t>
      </w:r>
      <w:r>
        <w:rPr>
          <w:rFonts w:hint="eastAsia" w:ascii="宋体" w:hAnsi="宋体" w:cs="Arial"/>
          <w:sz w:val="24"/>
          <w:szCs w:val="24"/>
          <w:lang w:val="en-US" w:eastAsia="zh-CN"/>
        </w:rPr>
        <w:t>12</w:t>
      </w:r>
      <w:r>
        <w:rPr>
          <w:rFonts w:hint="eastAsia" w:ascii="宋体" w:hAnsi="宋体" w:cs="Arial"/>
          <w:sz w:val="24"/>
          <w:szCs w:val="24"/>
        </w:rPr>
        <w:t>月</w:t>
      </w:r>
      <w:r>
        <w:rPr>
          <w:rFonts w:hint="eastAsia" w:ascii="宋体" w:hAnsi="宋体" w:cs="Arial"/>
          <w:sz w:val="24"/>
          <w:szCs w:val="24"/>
          <w:lang w:val="en-US" w:eastAsia="zh-CN"/>
        </w:rPr>
        <w:t>09</w:t>
      </w:r>
      <w:r>
        <w:rPr>
          <w:rFonts w:hint="eastAsia" w:ascii="宋体" w:hAnsi="宋体" w:cs="Arial"/>
          <w:sz w:val="24"/>
          <w:szCs w:val="24"/>
        </w:rPr>
        <w:t>日（周</w:t>
      </w:r>
      <w:r>
        <w:rPr>
          <w:rFonts w:hint="eastAsia" w:ascii="宋体" w:hAnsi="宋体" w:cs="Arial"/>
          <w:sz w:val="24"/>
          <w:szCs w:val="24"/>
          <w:lang w:val="en-US" w:eastAsia="zh-CN"/>
        </w:rPr>
        <w:t>四</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21年</w:t>
      </w:r>
      <w:r>
        <w:rPr>
          <w:rFonts w:hint="eastAsia" w:ascii="宋体" w:hAnsi="宋体" w:cs="Arial"/>
          <w:color w:val="FF0000"/>
          <w:sz w:val="24"/>
          <w:szCs w:val="24"/>
          <w:lang w:val="en-US" w:eastAsia="zh-CN"/>
        </w:rPr>
        <w:t>12</w:t>
      </w:r>
      <w:r>
        <w:rPr>
          <w:rFonts w:hint="eastAsia" w:ascii="宋体" w:hAnsi="宋体" w:cs="Arial"/>
          <w:color w:val="FF0000"/>
          <w:sz w:val="24"/>
          <w:szCs w:val="24"/>
        </w:rPr>
        <w:t>月</w:t>
      </w:r>
      <w:r>
        <w:rPr>
          <w:rFonts w:hint="eastAsia" w:ascii="宋体" w:hAnsi="宋体" w:cs="Arial"/>
          <w:color w:val="FF0000"/>
          <w:sz w:val="24"/>
          <w:szCs w:val="24"/>
          <w:lang w:val="en-US" w:eastAsia="zh-CN"/>
        </w:rPr>
        <w:t>16</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rPr>
          <w:rFonts w:hint="default" w:ascii="宋体" w:hAnsi="宋体" w:cs="Arial" w:eastAsiaTheme="minorEastAsia"/>
          <w:color w:val="000000"/>
          <w:sz w:val="24"/>
          <w:szCs w:val="24"/>
          <w:lang w:val="en-US" w:eastAsia="zh-CN"/>
        </w:rPr>
      </w:pPr>
      <w:r>
        <w:rPr>
          <w:rFonts w:hint="eastAsia" w:ascii="宋体" w:hAnsi="宋体" w:cs="Arial"/>
          <w:color w:val="000000"/>
          <w:sz w:val="24"/>
          <w:szCs w:val="24"/>
          <w:lang w:val="en-US" w:eastAsia="zh-CN"/>
        </w:rPr>
        <w:t xml:space="preserve">    答疑联系人：姜部长（手机18563816007）</w:t>
      </w:r>
    </w:p>
    <w:p>
      <w:pPr>
        <w:adjustRightInd w:val="0"/>
        <w:snapToGrid w:val="0"/>
        <w:spacing w:beforeLines="50" w:line="288" w:lineRule="auto"/>
        <w:rPr>
          <w:rFonts w:hint="eastAsia" w:ascii="宋体" w:hAnsi="宋体" w:cs="Arial"/>
          <w:color w:val="FF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6</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1</w:t>
      </w:r>
      <w:r>
        <w:rPr>
          <w:rFonts w:hint="eastAsia" w:ascii="宋体" w:hAnsi="宋体" w:cs="Arial"/>
          <w:color w:val="FF0000"/>
          <w:sz w:val="24"/>
          <w:szCs w:val="24"/>
        </w:rPr>
        <w:t>年</w:t>
      </w:r>
      <w:r>
        <w:rPr>
          <w:rFonts w:hint="eastAsia" w:ascii="宋体" w:hAnsi="宋体" w:cs="Arial"/>
          <w:color w:val="FF0000"/>
          <w:sz w:val="24"/>
          <w:szCs w:val="24"/>
          <w:lang w:val="en-US" w:eastAsia="zh-CN"/>
        </w:rPr>
        <w:t>12</w:t>
      </w:r>
      <w:r>
        <w:rPr>
          <w:rFonts w:hint="eastAsia" w:ascii="宋体" w:hAnsi="宋体" w:cs="Arial"/>
          <w:color w:val="FF0000"/>
          <w:sz w:val="24"/>
          <w:szCs w:val="24"/>
        </w:rPr>
        <w:t>月</w:t>
      </w:r>
      <w:r>
        <w:rPr>
          <w:rFonts w:hint="eastAsia" w:ascii="宋体" w:hAnsi="宋体" w:cs="Arial"/>
          <w:color w:val="FF0000"/>
          <w:sz w:val="24"/>
          <w:szCs w:val="24"/>
          <w:lang w:val="en-US" w:eastAsia="zh-CN"/>
        </w:rPr>
        <w:t>16</w:t>
      </w:r>
      <w:bookmarkStart w:id="2" w:name="_GoBack"/>
      <w:bookmarkEnd w:id="2"/>
      <w:r>
        <w:rPr>
          <w:rFonts w:hint="eastAsia" w:ascii="宋体" w:hAnsi="宋体" w:cs="Arial"/>
          <w:color w:val="FF0000"/>
          <w:sz w:val="24"/>
          <w:szCs w:val="24"/>
        </w:rPr>
        <w:t>日14</w:t>
      </w:r>
      <w:r>
        <w:rPr>
          <w:rFonts w:hint="eastAsia" w:ascii="宋体" w:hAnsi="宋体" w:cs="Arial"/>
          <w:color w:val="FF0000"/>
          <w:sz w:val="24"/>
          <w:szCs w:val="24"/>
          <w:lang w:eastAsia="zh-CN"/>
        </w:rPr>
        <w:t>：</w:t>
      </w:r>
      <w:r>
        <w:rPr>
          <w:rFonts w:hint="eastAsia" w:ascii="宋体" w:hAnsi="宋体" w:cs="Arial"/>
          <w:color w:val="FF0000"/>
          <w:sz w:val="24"/>
          <w:szCs w:val="24"/>
          <w:lang w:val="en-US" w:eastAsia="zh-CN"/>
        </w:rPr>
        <w:t>30</w:t>
      </w:r>
    </w:p>
    <w:p>
      <w:pPr>
        <w:adjustRightInd w:val="0"/>
        <w:snapToGrid w:val="0"/>
        <w:spacing w:beforeLines="50" w:line="288" w:lineRule="auto"/>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jc w:val="left"/>
        <w:rPr>
          <w:rFonts w:ascii="宋体" w:hAnsi="宋体" w:cs="Arial"/>
          <w:b w:val="0"/>
          <w:bCs w:val="0"/>
          <w:sz w:val="24"/>
          <w:szCs w:val="24"/>
        </w:rPr>
      </w:pPr>
      <w:r>
        <w:rPr>
          <w:rFonts w:hint="eastAsia" w:ascii="宋体" w:hAnsi="宋体" w:eastAsia="宋体" w:cs="宋体"/>
          <w:b/>
          <w:bCs/>
          <w:color w:val="000000"/>
          <w:kern w:val="0"/>
          <w:sz w:val="24"/>
          <w:szCs w:val="24"/>
        </w:rPr>
        <w:t>1、适用范围：</w:t>
      </w:r>
      <w:r>
        <w:rPr>
          <w:rFonts w:hint="eastAsia" w:ascii="微软雅黑" w:hAnsi="微软雅黑" w:eastAsia="微软雅黑" w:cs="微软雅黑"/>
          <w:b w:val="0"/>
          <w:bCs w:val="0"/>
          <w:i w:val="0"/>
          <w:iCs w:val="0"/>
          <w:caps w:val="0"/>
          <w:color w:val="000000"/>
          <w:spacing w:val="0"/>
          <w:sz w:val="24"/>
          <w:szCs w:val="24"/>
        </w:rPr>
        <w:t>鑫广绿环</w:t>
      </w:r>
      <w:r>
        <w:rPr>
          <w:rFonts w:hint="eastAsia" w:ascii="微软雅黑" w:hAnsi="微软雅黑" w:eastAsia="微软雅黑" w:cs="微软雅黑"/>
          <w:b w:val="0"/>
          <w:bCs w:val="0"/>
          <w:i w:val="0"/>
          <w:iCs w:val="0"/>
          <w:caps w:val="0"/>
          <w:color w:val="000000"/>
          <w:spacing w:val="0"/>
          <w:sz w:val="24"/>
          <w:szCs w:val="24"/>
          <w:lang w:val="en-US" w:eastAsia="zh-CN"/>
        </w:rPr>
        <w:t>汽车拆解油水分离器</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3.1</w:t>
      </w:r>
      <w:r>
        <w:rPr>
          <w:rFonts w:hint="eastAsia" w:ascii="宋体" w:hAnsi="宋体" w:eastAsia="宋体" w:cs="Arial"/>
          <w:color w:val="000000"/>
          <w:kern w:val="0"/>
          <w:sz w:val="24"/>
          <w:szCs w:val="24"/>
        </w:rPr>
        <w:t>投标人本企业有关证明复印件，如：营业执照、资质证书、安全证书、其它信誉证书等。</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rPr>
          <w:rFonts w:hint="eastAsia"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30</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rFonts w:hint="default" w:eastAsiaTheme="minorEastAsia"/>
          <w:sz w:val="24"/>
          <w:lang w:val="en-US" w:eastAsia="zh-CN"/>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r>
        <w:rPr>
          <w:rFonts w:hint="eastAsia"/>
          <w:sz w:val="24"/>
          <w:lang w:val="en-US" w:eastAsia="zh-CN"/>
        </w:rPr>
        <w:t>总货款不低于50%银行承兑。</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民典法</w:t>
      </w:r>
      <w:r>
        <w:rPr>
          <w:rFonts w:hint="eastAsia" w:ascii="宋体" w:hAnsi="宋体" w:eastAsia="宋体" w:cs="宋体"/>
          <w:color w:val="000000"/>
          <w:kern w:val="0"/>
          <w:sz w:val="24"/>
          <w:szCs w:val="24"/>
        </w:rPr>
        <w:t>》和招标文件内容的解释为准。</w:t>
      </w:r>
    </w:p>
    <w:p>
      <w:pPr>
        <w:widowControl/>
        <w:shd w:val="clear" w:color="auto" w:fill="FFFFFF"/>
        <w:spacing w:before="50" w:line="228" w:lineRule="atLeast"/>
        <w:jc w:val="left"/>
        <w:rPr>
          <w:rFonts w:hint="eastAsia" w:ascii="宋体" w:hAnsi="宋体" w:eastAsia="宋体" w:cs="宋体"/>
          <w:b/>
          <w:bCs/>
          <w:color w:val="FF0000"/>
          <w:kern w:val="0"/>
          <w:sz w:val="28"/>
          <w:szCs w:val="28"/>
          <w:lang w:val="en-US" w:eastAsia="zh-CN"/>
        </w:rPr>
      </w:pPr>
      <w:r>
        <w:rPr>
          <w:rFonts w:hint="eastAsia" w:ascii="宋体" w:hAnsi="宋体" w:eastAsia="宋体" w:cs="宋体"/>
          <w:b/>
          <w:bCs/>
          <w:color w:val="FF0000"/>
          <w:kern w:val="0"/>
          <w:sz w:val="28"/>
          <w:szCs w:val="28"/>
          <w:lang w:val="en-US" w:eastAsia="zh-CN"/>
        </w:rPr>
        <w:t>10、具体要求：</w:t>
      </w:r>
    </w:p>
    <w:p>
      <w:pPr>
        <w:numPr>
          <w:ilvl w:val="0"/>
          <w:numId w:val="0"/>
        </w:numPr>
        <w:jc w:val="left"/>
        <w:rPr>
          <w:rFonts w:hint="default"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进水水源：汽车拆解厂地表收集含油雨水</w:t>
      </w:r>
    </w:p>
    <w:p>
      <w:pPr>
        <w:numPr>
          <w:ilvl w:val="0"/>
          <w:numId w:val="0"/>
        </w:numPr>
        <w:jc w:val="left"/>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产水目的：达标排放</w:t>
      </w:r>
    </w:p>
    <w:p>
      <w:pPr>
        <w:numPr>
          <w:ilvl w:val="0"/>
          <w:numId w:val="0"/>
        </w:numPr>
        <w:jc w:val="left"/>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产水水质：</w:t>
      </w:r>
    </w:p>
    <w:tbl>
      <w:tblPr>
        <w:tblStyle w:val="6"/>
        <w:tblW w:w="8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804"/>
        <w:gridCol w:w="1248"/>
        <w:gridCol w:w="1200"/>
        <w:gridCol w:w="1152"/>
        <w:gridCol w:w="1260"/>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tcPr>
          <w:p>
            <w:pPr>
              <w:numPr>
                <w:ilvl w:val="0"/>
                <w:numId w:val="0"/>
              </w:numPr>
              <w:ind w:leftChars="100"/>
              <w:jc w:val="left"/>
              <w:rPr>
                <w:rFonts w:hint="default"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监测项目</w:t>
            </w:r>
          </w:p>
        </w:tc>
        <w:tc>
          <w:tcPr>
            <w:tcW w:w="804" w:type="dxa"/>
          </w:tcPr>
          <w:p>
            <w:pPr>
              <w:numPr>
                <w:ilvl w:val="0"/>
                <w:numId w:val="0"/>
              </w:numPr>
              <w:ind w:leftChars="100"/>
              <w:jc w:val="left"/>
              <w:rPr>
                <w:rFonts w:hint="default"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PH</w:t>
            </w:r>
          </w:p>
        </w:tc>
        <w:tc>
          <w:tcPr>
            <w:tcW w:w="1248" w:type="dxa"/>
          </w:tcPr>
          <w:p>
            <w:pPr>
              <w:numPr>
                <w:ilvl w:val="0"/>
                <w:numId w:val="0"/>
              </w:numPr>
              <w:ind w:leftChars="100"/>
              <w:jc w:val="left"/>
              <w:rPr>
                <w:rFonts w:hint="eastAsia"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COD</w:t>
            </w:r>
          </w:p>
          <w:p>
            <w:pPr>
              <w:numPr>
                <w:ilvl w:val="0"/>
                <w:numId w:val="0"/>
              </w:numPr>
              <w:ind w:leftChars="100"/>
              <w:jc w:val="left"/>
              <w:rPr>
                <w:rFonts w:hint="default"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(mg/L)</w:t>
            </w:r>
          </w:p>
        </w:tc>
        <w:tc>
          <w:tcPr>
            <w:tcW w:w="1200" w:type="dxa"/>
          </w:tcPr>
          <w:p>
            <w:pPr>
              <w:numPr>
                <w:ilvl w:val="0"/>
                <w:numId w:val="0"/>
              </w:numPr>
              <w:ind w:leftChars="100"/>
              <w:jc w:val="left"/>
              <w:rPr>
                <w:rFonts w:hint="default"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氨氮</w:t>
            </w:r>
          </w:p>
          <w:p>
            <w:pPr>
              <w:numPr>
                <w:ilvl w:val="0"/>
                <w:numId w:val="0"/>
              </w:numPr>
              <w:ind w:leftChars="100"/>
              <w:jc w:val="left"/>
              <w:rPr>
                <w:rFonts w:hint="default"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(mg/L)</w:t>
            </w:r>
          </w:p>
        </w:tc>
        <w:tc>
          <w:tcPr>
            <w:tcW w:w="1152" w:type="dxa"/>
          </w:tcPr>
          <w:p>
            <w:pPr>
              <w:numPr>
                <w:ilvl w:val="0"/>
                <w:numId w:val="0"/>
              </w:numPr>
              <w:ind w:leftChars="100"/>
              <w:jc w:val="left"/>
              <w:rPr>
                <w:rFonts w:hint="default"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TDS</w:t>
            </w:r>
          </w:p>
          <w:p>
            <w:pPr>
              <w:numPr>
                <w:ilvl w:val="0"/>
                <w:numId w:val="0"/>
              </w:numPr>
              <w:ind w:leftChars="100"/>
              <w:jc w:val="left"/>
              <w:rPr>
                <w:rFonts w:hint="default"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(mg/L)</w:t>
            </w:r>
          </w:p>
        </w:tc>
        <w:tc>
          <w:tcPr>
            <w:tcW w:w="1260" w:type="dxa"/>
          </w:tcPr>
          <w:p>
            <w:pPr>
              <w:numPr>
                <w:ilvl w:val="0"/>
                <w:numId w:val="0"/>
              </w:numPr>
              <w:ind w:leftChars="100"/>
              <w:jc w:val="left"/>
              <w:rPr>
                <w:rFonts w:hint="default"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石油类</w:t>
            </w:r>
          </w:p>
          <w:p>
            <w:pPr>
              <w:numPr>
                <w:ilvl w:val="0"/>
                <w:numId w:val="0"/>
              </w:numPr>
              <w:ind w:leftChars="100"/>
              <w:jc w:val="left"/>
              <w:rPr>
                <w:rFonts w:hint="default"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(mg/L)</w:t>
            </w:r>
          </w:p>
        </w:tc>
        <w:tc>
          <w:tcPr>
            <w:tcW w:w="1176" w:type="dxa"/>
          </w:tcPr>
          <w:p>
            <w:pPr>
              <w:numPr>
                <w:ilvl w:val="0"/>
                <w:numId w:val="0"/>
              </w:numPr>
              <w:ind w:leftChars="100"/>
              <w:jc w:val="left"/>
              <w:rPr>
                <w:rFonts w:hint="default"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SS</w:t>
            </w:r>
          </w:p>
          <w:p>
            <w:pPr>
              <w:numPr>
                <w:ilvl w:val="0"/>
                <w:numId w:val="0"/>
              </w:numPr>
              <w:ind w:leftChars="100"/>
              <w:jc w:val="left"/>
              <w:rPr>
                <w:rFonts w:hint="default"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tcPr>
          <w:p>
            <w:pPr>
              <w:numPr>
                <w:ilvl w:val="0"/>
                <w:numId w:val="0"/>
              </w:numPr>
              <w:ind w:leftChars="100"/>
              <w:jc w:val="left"/>
              <w:rPr>
                <w:rFonts w:hint="default"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汽车拆解废水</w:t>
            </w:r>
          </w:p>
        </w:tc>
        <w:tc>
          <w:tcPr>
            <w:tcW w:w="804" w:type="dxa"/>
          </w:tcPr>
          <w:p>
            <w:pPr>
              <w:numPr>
                <w:ilvl w:val="0"/>
                <w:numId w:val="0"/>
              </w:numPr>
              <w:ind w:leftChars="100"/>
              <w:jc w:val="left"/>
              <w:rPr>
                <w:rFonts w:hint="default"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6-9</w:t>
            </w:r>
          </w:p>
        </w:tc>
        <w:tc>
          <w:tcPr>
            <w:tcW w:w="1248" w:type="dxa"/>
          </w:tcPr>
          <w:p>
            <w:pPr>
              <w:numPr>
                <w:ilvl w:val="0"/>
                <w:numId w:val="0"/>
              </w:numPr>
              <w:ind w:leftChars="100"/>
              <w:jc w:val="left"/>
              <w:rPr>
                <w:rFonts w:hint="default"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2000</w:t>
            </w:r>
          </w:p>
        </w:tc>
        <w:tc>
          <w:tcPr>
            <w:tcW w:w="1200" w:type="dxa"/>
          </w:tcPr>
          <w:p>
            <w:pPr>
              <w:numPr>
                <w:ilvl w:val="0"/>
                <w:numId w:val="0"/>
              </w:numPr>
              <w:ind w:leftChars="100"/>
              <w:jc w:val="left"/>
              <w:rPr>
                <w:rFonts w:hint="default"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100</w:t>
            </w:r>
          </w:p>
        </w:tc>
        <w:tc>
          <w:tcPr>
            <w:tcW w:w="1152" w:type="dxa"/>
          </w:tcPr>
          <w:p>
            <w:pPr>
              <w:numPr>
                <w:ilvl w:val="0"/>
                <w:numId w:val="0"/>
              </w:numPr>
              <w:ind w:leftChars="100"/>
              <w:jc w:val="left"/>
              <w:rPr>
                <w:rFonts w:hint="default"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2000</w:t>
            </w:r>
          </w:p>
        </w:tc>
        <w:tc>
          <w:tcPr>
            <w:tcW w:w="1260" w:type="dxa"/>
          </w:tcPr>
          <w:p>
            <w:pPr>
              <w:numPr>
                <w:ilvl w:val="0"/>
                <w:numId w:val="0"/>
              </w:numPr>
              <w:ind w:leftChars="100"/>
              <w:jc w:val="left"/>
              <w:rPr>
                <w:rFonts w:hint="default"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15</w:t>
            </w:r>
          </w:p>
        </w:tc>
        <w:tc>
          <w:tcPr>
            <w:tcW w:w="1176" w:type="dxa"/>
          </w:tcPr>
          <w:p>
            <w:pPr>
              <w:numPr>
                <w:ilvl w:val="0"/>
                <w:numId w:val="0"/>
              </w:numPr>
              <w:ind w:leftChars="100"/>
              <w:jc w:val="left"/>
              <w:rPr>
                <w:rFonts w:hint="default" w:ascii="宋体" w:hAnsi="宋体" w:eastAsia="宋体" w:cs="宋体"/>
                <w:b/>
                <w:bCs/>
                <w:color w:val="FF0000"/>
                <w:sz w:val="24"/>
                <w:szCs w:val="24"/>
                <w:vertAlign w:val="baseline"/>
                <w:lang w:val="en-US" w:eastAsia="zh-CN"/>
              </w:rPr>
            </w:pPr>
            <w:r>
              <w:rPr>
                <w:rFonts w:hint="eastAsia" w:ascii="宋体" w:hAnsi="宋体" w:eastAsia="宋体" w:cs="宋体"/>
                <w:b/>
                <w:bCs/>
                <w:color w:val="FF0000"/>
                <w:sz w:val="24"/>
                <w:szCs w:val="24"/>
                <w:vertAlign w:val="baseline"/>
                <w:lang w:val="en-US" w:eastAsia="zh-CN"/>
              </w:rPr>
              <w:t>400</w:t>
            </w:r>
          </w:p>
        </w:tc>
      </w:tr>
    </w:tbl>
    <w:p>
      <w:pPr>
        <w:pStyle w:val="2"/>
        <w:numPr>
          <w:ilvl w:val="0"/>
          <w:numId w:val="0"/>
        </w:numPr>
        <w:outlineLvl w:val="0"/>
        <w:rPr>
          <w:rFonts w:hint="default" w:ascii="宋体" w:hAnsi="宋体" w:eastAsia="宋体" w:cs="宋体"/>
          <w:b/>
          <w:bCs/>
          <w:color w:val="FF0000"/>
          <w:sz w:val="28"/>
          <w:szCs w:val="28"/>
          <w:lang w:val="en-US" w:eastAsia="zh-CN"/>
        </w:rPr>
      </w:pPr>
      <w:bookmarkStart w:id="0" w:name="_Toc18856"/>
      <w:r>
        <w:rPr>
          <w:rFonts w:hint="eastAsia" w:ascii="宋体" w:hAnsi="宋体" w:eastAsia="宋体" w:cs="宋体"/>
          <w:b/>
          <w:bCs/>
          <w:color w:val="FF0000"/>
          <w:sz w:val="28"/>
          <w:szCs w:val="28"/>
          <w:lang w:val="en-US" w:eastAsia="zh-CN"/>
        </w:rPr>
        <w:t>11、系统说明</w:t>
      </w:r>
      <w:bookmarkEnd w:id="0"/>
    </w:p>
    <w:p>
      <w:pPr>
        <w:pStyle w:val="2"/>
        <w:numPr>
          <w:ilvl w:val="0"/>
          <w:numId w:val="0"/>
        </w:numPr>
        <w:ind w:leftChars="100"/>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1.系统可以实现自动和手动切换，手动强制。</w:t>
      </w:r>
    </w:p>
    <w:p>
      <w:pPr>
        <w:pStyle w:val="2"/>
        <w:numPr>
          <w:ilvl w:val="0"/>
          <w:numId w:val="0"/>
        </w:numPr>
        <w:ind w:leftChars="100"/>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2.系统是最基本、最简单的物理过滤，如果污水含油量太多，系统负荷太高，则需要增加隔油池等预处理单元。</w:t>
      </w:r>
    </w:p>
    <w:p>
      <w:pPr>
        <w:pStyle w:val="2"/>
        <w:numPr>
          <w:ilvl w:val="0"/>
          <w:numId w:val="0"/>
        </w:numPr>
        <w:ind w:leftChars="100"/>
        <w:rPr>
          <w:rFonts w:hint="default"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3.系统配电需10KW左右。</w:t>
      </w:r>
    </w:p>
    <w:p>
      <w:pPr>
        <w:jc w:val="both"/>
        <w:rPr>
          <w:rFonts w:hint="eastAsia" w:ascii="宋体" w:hAnsi="宋体" w:eastAsia="宋体" w:cs="宋体"/>
          <w:b/>
          <w:bCs/>
          <w:color w:val="FF0000"/>
          <w:sz w:val="28"/>
          <w:szCs w:val="28"/>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ascii="宋体" w:hAnsi="宋体" w:cs="Arial"/>
          <w:b/>
          <w:sz w:val="24"/>
          <w:szCs w:val="24"/>
        </w:rPr>
      </w:pPr>
      <w:r>
        <w:rPr>
          <w:rFonts w:hint="eastAsia" w:ascii="宋体" w:hAnsi="宋体" w:cs="Arial"/>
          <w:b/>
          <w:sz w:val="24"/>
          <w:szCs w:val="24"/>
        </w:rPr>
        <w:t>项目名称：</w:t>
      </w:r>
      <w:r>
        <w:rPr>
          <w:rFonts w:hint="eastAsia" w:ascii="微软雅黑" w:hAnsi="微软雅黑" w:eastAsia="微软雅黑" w:cs="微软雅黑"/>
          <w:b w:val="0"/>
          <w:bCs w:val="0"/>
          <w:i w:val="0"/>
          <w:iCs w:val="0"/>
          <w:caps w:val="0"/>
          <w:color w:val="000000"/>
          <w:spacing w:val="0"/>
          <w:sz w:val="24"/>
          <w:szCs w:val="24"/>
        </w:rPr>
        <w:t>鑫广绿环</w:t>
      </w:r>
      <w:r>
        <w:rPr>
          <w:rFonts w:hint="eastAsia" w:ascii="微软雅黑" w:hAnsi="微软雅黑" w:eastAsia="微软雅黑" w:cs="微软雅黑"/>
          <w:b w:val="0"/>
          <w:bCs w:val="0"/>
          <w:i w:val="0"/>
          <w:iCs w:val="0"/>
          <w:caps w:val="0"/>
          <w:color w:val="000000"/>
          <w:spacing w:val="0"/>
          <w:sz w:val="24"/>
          <w:szCs w:val="24"/>
          <w:lang w:val="en-US" w:eastAsia="zh-CN"/>
        </w:rPr>
        <w:t>汽车拆解油水分离器</w:t>
      </w:r>
    </w:p>
    <w:p>
      <w:pPr>
        <w:widowControl/>
        <w:shd w:val="clear" w:color="auto" w:fill="FFFFFF"/>
        <w:spacing w:after="120" w:line="362" w:lineRule="atLeast"/>
        <w:ind w:firstLine="2891" w:firstLineChars="900"/>
        <w:jc w:val="left"/>
        <w:rPr>
          <w:rFonts w:ascii="宋体" w:hAnsi="宋体" w:cs="Arial"/>
          <w:b/>
          <w:sz w:val="24"/>
          <w:szCs w:val="24"/>
        </w:rPr>
      </w:pPr>
      <w:r>
        <w:rPr>
          <w:rFonts w:hint="eastAsia" w:ascii="宋体" w:hAnsi="宋体" w:cs="宋体"/>
          <w:b/>
          <w:bCs/>
          <w:color w:val="000000"/>
          <w:kern w:val="0"/>
          <w:sz w:val="32"/>
          <w:szCs w:val="32"/>
        </w:rPr>
        <w:t>开标一览表</w:t>
      </w:r>
    </w:p>
    <w:tbl>
      <w:tblPr>
        <w:tblStyle w:val="5"/>
        <w:tblpPr w:leftFromText="180" w:rightFromText="180" w:vertAnchor="text" w:horzAnchor="page" w:tblpX="1585" w:tblpY="221"/>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598"/>
        <w:gridCol w:w="2599"/>
        <w:gridCol w:w="762"/>
        <w:gridCol w:w="775"/>
        <w:gridCol w:w="1113"/>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1"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color w:val="000000"/>
                <w:kern w:val="0"/>
                <w:sz w:val="24"/>
                <w:szCs w:val="24"/>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both"/>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b/>
                <w:color w:val="000000"/>
                <w:kern w:val="0"/>
                <w:sz w:val="24"/>
                <w:szCs w:val="24"/>
              </w:rPr>
              <w:t>总报价</w:t>
            </w:r>
            <w:r>
              <w:rPr>
                <w:rFonts w:hint="eastAsia" w:cs="宋体" w:asciiTheme="minorEastAsia" w:hAnsiTheme="minorEastAsia"/>
                <w:b/>
                <w:color w:val="000000"/>
                <w:kern w:val="0"/>
                <w:sz w:val="24"/>
                <w:szCs w:val="24"/>
                <w:lang w:val="en-US" w:eastAsia="zh-CN"/>
              </w:rPr>
              <w:t xml:space="preserve">                                                 </w:t>
            </w:r>
            <w:r>
              <w:rPr>
                <w:rFonts w:hint="eastAsia" w:cs="宋体" w:asciiTheme="minorEastAsia" w:hAnsiTheme="minorEastAsia" w:eastAsiaTheme="minorEastAsia"/>
                <w:color w:val="000000"/>
                <w:kern w:val="0"/>
                <w:sz w:val="24"/>
                <w:szCs w:val="24"/>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7" w:hRule="atLeast"/>
        </w:trPr>
        <w:tc>
          <w:tcPr>
            <w:tcW w:w="1598"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b/>
                <w:color w:val="000000"/>
                <w:kern w:val="0"/>
                <w:sz w:val="24"/>
                <w:szCs w:val="24"/>
                <w:lang w:val="en-US" w:eastAsia="zh-CN"/>
              </w:rPr>
            </w:pPr>
            <w:r>
              <w:rPr>
                <w:rFonts w:hint="eastAsia" w:cs="宋体" w:asciiTheme="minorEastAsia" w:hAnsiTheme="minorEastAsia"/>
                <w:b/>
                <w:color w:val="000000"/>
                <w:kern w:val="0"/>
                <w:sz w:val="24"/>
                <w:szCs w:val="24"/>
                <w:lang w:val="en-US" w:eastAsia="zh-CN"/>
              </w:rPr>
              <w:t>名称</w:t>
            </w:r>
          </w:p>
        </w:tc>
        <w:tc>
          <w:tcPr>
            <w:tcW w:w="2599"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lang w:val="en-US" w:eastAsia="zh-CN"/>
              </w:rPr>
              <w:t>规格型号</w:t>
            </w:r>
          </w:p>
        </w:tc>
        <w:tc>
          <w:tcPr>
            <w:tcW w:w="762"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单位</w:t>
            </w:r>
          </w:p>
        </w:tc>
        <w:tc>
          <w:tcPr>
            <w:tcW w:w="775"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数量</w:t>
            </w:r>
          </w:p>
        </w:tc>
        <w:tc>
          <w:tcPr>
            <w:tcW w:w="1113"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单价RMB</w:t>
            </w:r>
          </w:p>
        </w:tc>
        <w:tc>
          <w:tcPr>
            <w:tcW w:w="2162"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总价RMB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numPr>
                <w:ilvl w:val="0"/>
                <w:numId w:val="0"/>
              </w:numPr>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增压泵</w:t>
            </w:r>
          </w:p>
        </w:tc>
        <w:tc>
          <w:tcPr>
            <w:tcW w:w="2599" w:type="dxa"/>
            <w:shd w:val="clear" w:color="auto" w:fill="FFFFFF"/>
            <w:tcMar>
              <w:top w:w="0" w:type="dxa"/>
              <w:left w:w="108" w:type="dxa"/>
              <w:bottom w:w="0" w:type="dxa"/>
              <w:right w:w="108" w:type="dxa"/>
            </w:tcMar>
            <w:vAlign w:val="center"/>
          </w:tcPr>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流量5m/h</w:t>
            </w: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扬程30m</w:t>
            </w: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220V</w:t>
            </w:r>
          </w:p>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材质铸铁</w:t>
            </w:r>
          </w:p>
        </w:tc>
        <w:tc>
          <w:tcPr>
            <w:tcW w:w="7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台</w:t>
            </w:r>
          </w:p>
        </w:tc>
        <w:tc>
          <w:tcPr>
            <w:tcW w:w="775"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1</w:t>
            </w: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hint="eastAsia"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篮式过滤器</w:t>
            </w:r>
          </w:p>
        </w:tc>
        <w:tc>
          <w:tcPr>
            <w:tcW w:w="2599" w:type="dxa"/>
            <w:shd w:val="clear" w:color="auto" w:fill="FFFFFF"/>
            <w:tcMar>
              <w:top w:w="0" w:type="dxa"/>
              <w:left w:w="108" w:type="dxa"/>
              <w:bottom w:w="0" w:type="dxa"/>
              <w:right w:w="108" w:type="dxa"/>
            </w:tcMar>
            <w:vAlign w:val="center"/>
          </w:tcPr>
          <w:p>
            <w:pPr>
              <w:numPr>
                <w:ilvl w:val="0"/>
                <w:numId w:val="0"/>
              </w:num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直径500mm</w:t>
            </w: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高度1200mm</w:t>
            </w: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材质SUS304</w:t>
            </w: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滤元精度150微米</w:t>
            </w:r>
          </w:p>
          <w:p>
            <w:pPr>
              <w:numPr>
                <w:ilvl w:val="0"/>
                <w:numId w:val="0"/>
              </w:numPr>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配观察孔</w:t>
            </w:r>
          </w:p>
        </w:tc>
        <w:tc>
          <w:tcPr>
            <w:tcW w:w="7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台</w:t>
            </w:r>
          </w:p>
        </w:tc>
        <w:tc>
          <w:tcPr>
            <w:tcW w:w="775"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1</w:t>
            </w: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hint="eastAsia"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油水分离器</w:t>
            </w:r>
          </w:p>
        </w:tc>
        <w:tc>
          <w:tcPr>
            <w:tcW w:w="2599" w:type="dxa"/>
            <w:shd w:val="clear" w:color="auto" w:fill="FFFFFF"/>
            <w:tcMar>
              <w:top w:w="0" w:type="dxa"/>
              <w:left w:w="108" w:type="dxa"/>
              <w:bottom w:w="0" w:type="dxa"/>
              <w:right w:w="108" w:type="dxa"/>
            </w:tcMar>
            <w:vAlign w:val="center"/>
          </w:tcPr>
          <w:p>
            <w:pPr>
              <w:numPr>
                <w:ilvl w:val="0"/>
                <w:numId w:val="0"/>
              </w:num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直径600mm</w:t>
            </w: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高度1800mm</w:t>
            </w: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材质SUS304</w:t>
            </w:r>
          </w:p>
          <w:p>
            <w:pPr>
              <w:numPr>
                <w:ilvl w:val="0"/>
                <w:numId w:val="0"/>
              </w:numPr>
              <w:ind w:left="0" w:leftChars="0" w:firstLine="0" w:firstLineChars="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含聚集分离滤芯</w:t>
            </w:r>
          </w:p>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kern w:val="2"/>
                <w:sz w:val="24"/>
                <w:szCs w:val="24"/>
                <w:vertAlign w:val="baseline"/>
                <w:lang w:val="en-US" w:eastAsia="zh-CN" w:bidi="ar-SA"/>
              </w:rPr>
              <w:t>配观察孔</w:t>
            </w:r>
          </w:p>
        </w:tc>
        <w:tc>
          <w:tcPr>
            <w:tcW w:w="7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台</w:t>
            </w:r>
          </w:p>
        </w:tc>
        <w:tc>
          <w:tcPr>
            <w:tcW w:w="775"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1</w:t>
            </w: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除油过滤器</w:t>
            </w:r>
          </w:p>
        </w:tc>
        <w:tc>
          <w:tcPr>
            <w:tcW w:w="2599" w:type="dxa"/>
            <w:shd w:val="clear" w:color="auto" w:fill="FFFFFF"/>
            <w:tcMar>
              <w:top w:w="0" w:type="dxa"/>
              <w:left w:w="108" w:type="dxa"/>
              <w:bottom w:w="0" w:type="dxa"/>
              <w:right w:w="108" w:type="dxa"/>
            </w:tcMar>
            <w:vAlign w:val="center"/>
          </w:tcPr>
          <w:p>
            <w:pPr>
              <w:numPr>
                <w:ilvl w:val="0"/>
                <w:numId w:val="0"/>
              </w:num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直径600mm</w:t>
            </w: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高度1800mm</w:t>
            </w:r>
          </w:p>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材质SUS304</w:t>
            </w:r>
          </w:p>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kern w:val="2"/>
                <w:sz w:val="24"/>
                <w:szCs w:val="24"/>
                <w:vertAlign w:val="baseline"/>
                <w:lang w:val="en-US" w:eastAsia="zh-CN" w:bidi="ar-SA"/>
              </w:rPr>
              <w:t>含除油滤芯</w:t>
            </w:r>
          </w:p>
        </w:tc>
        <w:tc>
          <w:tcPr>
            <w:tcW w:w="7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台</w:t>
            </w:r>
          </w:p>
        </w:tc>
        <w:tc>
          <w:tcPr>
            <w:tcW w:w="775"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1</w:t>
            </w: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机架</w:t>
            </w:r>
          </w:p>
        </w:tc>
        <w:tc>
          <w:tcPr>
            <w:tcW w:w="2599" w:type="dxa"/>
            <w:shd w:val="clear" w:color="auto" w:fill="FFFFFF"/>
            <w:tcMar>
              <w:top w:w="0" w:type="dxa"/>
              <w:left w:w="108" w:type="dxa"/>
              <w:bottom w:w="0" w:type="dxa"/>
              <w:right w:w="108" w:type="dxa"/>
            </w:tcMar>
            <w:vAlign w:val="center"/>
          </w:tcPr>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L2000*W1200*H2000</w:t>
            </w:r>
          </w:p>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材质SUS201</w:t>
            </w:r>
          </w:p>
        </w:tc>
        <w:tc>
          <w:tcPr>
            <w:tcW w:w="7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架</w:t>
            </w:r>
          </w:p>
        </w:tc>
        <w:tc>
          <w:tcPr>
            <w:tcW w:w="775"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1</w:t>
            </w: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电控柜</w:t>
            </w:r>
          </w:p>
        </w:tc>
        <w:tc>
          <w:tcPr>
            <w:tcW w:w="2599"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继电器控制、配液位浮球</w:t>
            </w:r>
          </w:p>
        </w:tc>
        <w:tc>
          <w:tcPr>
            <w:tcW w:w="7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套</w:t>
            </w:r>
          </w:p>
        </w:tc>
        <w:tc>
          <w:tcPr>
            <w:tcW w:w="775"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1</w:t>
            </w: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配套管道阀门</w:t>
            </w:r>
          </w:p>
        </w:tc>
        <w:tc>
          <w:tcPr>
            <w:tcW w:w="2599"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SUS304</w:t>
            </w:r>
          </w:p>
        </w:tc>
        <w:tc>
          <w:tcPr>
            <w:tcW w:w="7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批</w:t>
            </w:r>
          </w:p>
        </w:tc>
        <w:tc>
          <w:tcPr>
            <w:tcW w:w="775"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1</w:t>
            </w: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调试费</w:t>
            </w:r>
          </w:p>
        </w:tc>
        <w:tc>
          <w:tcPr>
            <w:tcW w:w="2599"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762"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775"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top"/>
          </w:tcPr>
          <w:p>
            <w:pPr>
              <w:numPr>
                <w:ilvl w:val="0"/>
                <w:numId w:val="0"/>
              </w:numPr>
              <w:ind w:left="0" w:leftChars="0" w:firstLine="0" w:firstLineChars="0"/>
              <w:jc w:val="center"/>
              <w:rPr>
                <w:rFonts w:hint="default"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保温</w:t>
            </w:r>
          </w:p>
        </w:tc>
        <w:tc>
          <w:tcPr>
            <w:tcW w:w="2599"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电加热及保温</w:t>
            </w:r>
          </w:p>
        </w:tc>
        <w:tc>
          <w:tcPr>
            <w:tcW w:w="762"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套</w:t>
            </w:r>
          </w:p>
        </w:tc>
        <w:tc>
          <w:tcPr>
            <w:tcW w:w="775"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3</w:t>
            </w: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p>
        </w:tc>
        <w:tc>
          <w:tcPr>
            <w:tcW w:w="2599"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762"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775"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p>
        </w:tc>
        <w:tc>
          <w:tcPr>
            <w:tcW w:w="2599"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762"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775"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p>
        </w:tc>
        <w:tc>
          <w:tcPr>
            <w:tcW w:w="2599"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762"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775"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6"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hint="eastAsia" w:cs="宋体" w:asciiTheme="minorEastAsia" w:hAnsiTheme="minorEastAsia"/>
                <w:color w:val="000000"/>
                <w:kern w:val="0"/>
                <w:sz w:val="24"/>
                <w:szCs w:val="24"/>
                <w:lang w:eastAsia="zh-CN"/>
              </w:rPr>
            </w:pPr>
            <w:r>
              <w:rPr>
                <w:rFonts w:hint="eastAsia" w:cs="宋体" w:asciiTheme="minorEastAsia" w:hAnsiTheme="minorEastAsia" w:eastAsiaTheme="minorEastAsia"/>
                <w:b/>
                <w:color w:val="000000"/>
                <w:kern w:val="0"/>
                <w:sz w:val="24"/>
                <w:szCs w:val="24"/>
              </w:rPr>
              <w:t>合计总金额</w:t>
            </w:r>
            <w:r>
              <w:rPr>
                <w:rFonts w:hint="eastAsia" w:cs="宋体" w:asciiTheme="minorEastAsia" w:hAnsiTheme="minorEastAsia"/>
                <w:color w:val="000000"/>
                <w:kern w:val="0"/>
                <w:sz w:val="24"/>
                <w:szCs w:val="24"/>
                <w:lang w:eastAsia="zh-CN"/>
              </w:rPr>
              <w:t>（注明税率）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3"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color w:val="000000"/>
                <w:kern w:val="0"/>
                <w:sz w:val="24"/>
                <w:szCs w:val="24"/>
              </w:rPr>
              <w:t>总工期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76"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center"/>
              <w:rPr>
                <w:rFonts w:hint="eastAsia"/>
                <w:sz w:val="24"/>
              </w:rPr>
            </w:pPr>
            <w:r>
              <w:rPr>
                <w:rFonts w:hint="eastAsia" w:cs="宋体" w:asciiTheme="minorEastAsia" w:hAnsiTheme="minorEastAsia" w:eastAsiaTheme="minorEastAsia"/>
                <w:b/>
                <w:color w:val="000000"/>
                <w:kern w:val="0"/>
                <w:sz w:val="24"/>
                <w:szCs w:val="24"/>
              </w:rPr>
              <w:t>付款方式</w:t>
            </w:r>
            <w:r>
              <w:rPr>
                <w:rFonts w:hint="eastAsia" w:cs="宋体" w:asciiTheme="minorEastAsia" w:hAnsiTheme="minorEastAsia"/>
                <w:b/>
                <w:color w:val="000000"/>
                <w:kern w:val="0"/>
                <w:sz w:val="24"/>
                <w:szCs w:val="24"/>
                <w:lang w:val="en-US" w:eastAsia="zh-CN"/>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r>
              <w:rPr>
                <w:rFonts w:hint="eastAsia"/>
                <w:sz w:val="24"/>
                <w:lang w:val="en-US" w:eastAsia="zh-CN"/>
              </w:rPr>
              <w:t>总货款不低于50%银行承兑。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b/>
                <w:color w:val="000000"/>
                <w:kern w:val="0"/>
                <w:sz w:val="24"/>
                <w:szCs w:val="24"/>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b/>
                <w:color w:val="000000"/>
                <w:kern w:val="0"/>
                <w:sz w:val="24"/>
                <w:szCs w:val="24"/>
                <w:lang w:eastAsia="zh-CN"/>
              </w:rPr>
              <w:t>售后情况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4" w:hRule="atLeast"/>
        </w:trPr>
        <w:tc>
          <w:tcPr>
            <w:tcW w:w="1598"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其他要求</w:t>
            </w:r>
          </w:p>
        </w:tc>
        <w:tc>
          <w:tcPr>
            <w:tcW w:w="7411" w:type="dxa"/>
            <w:gridSpan w:val="5"/>
            <w:shd w:val="clear" w:color="auto" w:fill="FFFFFF"/>
            <w:tcMar>
              <w:top w:w="0" w:type="dxa"/>
              <w:left w:w="108" w:type="dxa"/>
              <w:bottom w:w="0" w:type="dxa"/>
              <w:right w:w="108" w:type="dxa"/>
            </w:tcMar>
            <w:vAlign w:val="center"/>
          </w:tcPr>
          <w:p>
            <w:pPr>
              <w:widowControl/>
              <w:jc w:val="left"/>
              <w:rPr>
                <w:rFonts w:hint="eastAsia" w:cs="宋体" w:asciiTheme="majorEastAsia" w:hAnsiTheme="majorEastAsia" w:eastAsiaTheme="majorEastAsia"/>
                <w:color w:val="FF0000"/>
                <w:kern w:val="0"/>
                <w:sz w:val="24"/>
                <w:szCs w:val="24"/>
              </w:rPr>
            </w:pPr>
            <w:r>
              <w:rPr>
                <w:rFonts w:hint="eastAsia" w:cs="宋体" w:asciiTheme="majorEastAsia" w:hAnsiTheme="majorEastAsia" w:eastAsiaTheme="majorEastAsia"/>
                <w:color w:val="FF0000"/>
                <w:kern w:val="0"/>
                <w:sz w:val="24"/>
                <w:szCs w:val="24"/>
              </w:rPr>
              <w:t>1、此报价包含13%税点，如其他情况注明。</w:t>
            </w:r>
          </w:p>
          <w:p>
            <w:pPr>
              <w:widowControl/>
              <w:shd w:val="clear" w:color="auto" w:fill="FFFFFF"/>
              <w:spacing w:after="120" w:line="362" w:lineRule="atLeast"/>
              <w:rPr>
                <w:rFonts w:cs="宋体" w:asciiTheme="majorEastAsia" w:hAnsiTheme="majorEastAsia" w:eastAsiaTheme="majorEastAsia"/>
                <w:color w:val="FF0000"/>
                <w:kern w:val="0"/>
                <w:sz w:val="24"/>
                <w:szCs w:val="24"/>
              </w:rPr>
            </w:pPr>
            <w:r>
              <w:rPr>
                <w:rFonts w:hint="eastAsia" w:cs="宋体" w:asciiTheme="majorEastAsia" w:hAnsiTheme="majorEastAsia" w:eastAsiaTheme="majorEastAsia"/>
                <w:bCs/>
                <w:color w:val="FF0000"/>
                <w:kern w:val="0"/>
                <w:sz w:val="24"/>
                <w:szCs w:val="24"/>
              </w:rPr>
              <w:t>2、本页必须加盖公章。</w:t>
            </w:r>
          </w:p>
          <w:p>
            <w:pPr>
              <w:widowControl/>
              <w:shd w:val="clear" w:color="auto" w:fill="FFFFFF"/>
              <w:spacing w:after="120" w:line="362" w:lineRule="atLeast"/>
              <w:rPr>
                <w:rFonts w:hint="eastAsia" w:cs="宋体" w:asciiTheme="majorEastAsia" w:hAnsiTheme="majorEastAsia" w:eastAsiaTheme="majorEastAsia"/>
                <w:color w:val="FF0000"/>
                <w:kern w:val="0"/>
                <w:sz w:val="24"/>
                <w:szCs w:val="24"/>
              </w:rPr>
            </w:pPr>
            <w:r>
              <w:rPr>
                <w:rFonts w:hint="eastAsia" w:cs="宋体" w:asciiTheme="majorEastAsia" w:hAnsiTheme="majorEastAsia" w:eastAsiaTheme="majorEastAsia"/>
                <w:color w:val="FF0000"/>
                <w:kern w:val="0"/>
                <w:sz w:val="24"/>
                <w:szCs w:val="24"/>
              </w:rPr>
              <w:t>3、此报价包含</w:t>
            </w:r>
            <w:r>
              <w:rPr>
                <w:rFonts w:cs="宋体" w:asciiTheme="majorEastAsia" w:hAnsiTheme="majorEastAsia" w:eastAsiaTheme="majorEastAsia"/>
                <w:color w:val="FF0000"/>
                <w:kern w:val="0"/>
                <w:sz w:val="24"/>
                <w:szCs w:val="24"/>
              </w:rPr>
              <w:t>1</w:t>
            </w:r>
            <w:r>
              <w:rPr>
                <w:rFonts w:hint="eastAsia" w:cs="宋体" w:asciiTheme="majorEastAsia" w:hAnsiTheme="majorEastAsia" w:eastAsiaTheme="majorEastAsia"/>
                <w:color w:val="FF0000"/>
                <w:kern w:val="0"/>
                <w:sz w:val="24"/>
                <w:szCs w:val="24"/>
              </w:rPr>
              <w:t>3</w:t>
            </w:r>
            <w:r>
              <w:rPr>
                <w:rFonts w:cs="宋体" w:asciiTheme="majorEastAsia" w:hAnsiTheme="majorEastAsia" w:eastAsiaTheme="majorEastAsia"/>
                <w:color w:val="FF0000"/>
                <w:kern w:val="0"/>
                <w:sz w:val="24"/>
                <w:szCs w:val="24"/>
              </w:rPr>
              <w:t>%</w:t>
            </w:r>
            <w:r>
              <w:rPr>
                <w:rFonts w:hint="eastAsia" w:cs="宋体" w:asciiTheme="majorEastAsia" w:hAnsiTheme="majorEastAsia" w:eastAsiaTheme="majorEastAsia"/>
                <w:color w:val="FF0000"/>
                <w:kern w:val="0"/>
                <w:sz w:val="24"/>
                <w:szCs w:val="24"/>
              </w:rPr>
              <w:t>增值税发票和运费等。</w:t>
            </w:r>
          </w:p>
          <w:p>
            <w:pPr>
              <w:widowControl/>
              <w:shd w:val="clear" w:color="auto" w:fill="FFFFFF"/>
              <w:spacing w:after="120" w:line="362" w:lineRule="atLeast"/>
              <w:rPr>
                <w:rFonts w:cs="宋体" w:asciiTheme="majorEastAsia" w:hAnsiTheme="majorEastAsia" w:eastAsiaTheme="majorEastAsia"/>
                <w:color w:val="FF0000"/>
                <w:kern w:val="0"/>
                <w:sz w:val="24"/>
                <w:szCs w:val="24"/>
              </w:rPr>
            </w:pPr>
            <w:r>
              <w:rPr>
                <w:rFonts w:hint="eastAsia" w:cs="宋体" w:asciiTheme="majorEastAsia" w:hAnsiTheme="majorEastAsia" w:eastAsiaTheme="majorEastAsia"/>
                <w:color w:val="FF0000"/>
                <w:kern w:val="0"/>
                <w:sz w:val="24"/>
                <w:szCs w:val="24"/>
              </w:rPr>
              <w:t>4、</w:t>
            </w:r>
            <w:r>
              <w:rPr>
                <w:rFonts w:hint="eastAsia" w:cs="宋体" w:asciiTheme="majorEastAsia" w:hAnsiTheme="majorEastAsia" w:eastAsiaTheme="majorEastAsia"/>
                <w:color w:val="FF0000"/>
                <w:kern w:val="0"/>
                <w:sz w:val="24"/>
                <w:szCs w:val="24"/>
                <w:lang w:val="en-US" w:eastAsia="zh-CN"/>
              </w:rPr>
              <w:t>安装周期30</w:t>
            </w:r>
            <w:r>
              <w:rPr>
                <w:rFonts w:hint="eastAsia" w:cs="宋体" w:asciiTheme="majorEastAsia" w:hAnsiTheme="majorEastAsia" w:eastAsiaTheme="majorEastAsia"/>
                <w:color w:val="FF0000"/>
                <w:kern w:val="0"/>
                <w:sz w:val="24"/>
                <w:szCs w:val="24"/>
              </w:rPr>
              <w:t>天，如不能响应，请注明。</w:t>
            </w:r>
          </w:p>
          <w:p>
            <w:pPr>
              <w:widowControl/>
              <w:shd w:val="clear" w:color="auto" w:fill="FFFFFF"/>
              <w:spacing w:after="120" w:line="362" w:lineRule="atLeast"/>
              <w:rPr>
                <w:rFonts w:hint="eastAsia" w:cs="宋体" w:asciiTheme="minorEastAsia" w:hAnsiTheme="minorEastAsia"/>
                <w:b/>
                <w:color w:val="FF0000"/>
                <w:kern w:val="0"/>
                <w:sz w:val="24"/>
                <w:szCs w:val="24"/>
                <w:lang w:val="en-US" w:eastAsia="zh-CN"/>
              </w:rPr>
            </w:pPr>
            <w:r>
              <w:rPr>
                <w:rFonts w:hint="eastAsia" w:cs="宋体" w:asciiTheme="majorEastAsia" w:hAnsiTheme="majorEastAsia" w:eastAsiaTheme="majorEastAsia"/>
                <w:color w:val="FF0000"/>
                <w:kern w:val="0"/>
                <w:sz w:val="24"/>
                <w:szCs w:val="24"/>
              </w:rPr>
              <w:t>5、请随标书提供营业执照</w:t>
            </w:r>
          </w:p>
        </w:tc>
      </w:tr>
    </w:tbl>
    <w:p>
      <w:pPr>
        <w:rPr>
          <w:sz w:val="24"/>
          <w:szCs w:val="24"/>
        </w:rPr>
      </w:pPr>
    </w:p>
    <w:p>
      <w:pPr>
        <w:widowControl/>
        <w:shd w:val="clear" w:color="auto" w:fill="FFFFFF"/>
        <w:spacing w:after="120" w:line="362" w:lineRule="atLeast"/>
        <w:rPr>
          <w:rFonts w:ascii="宋体" w:hAnsi="宋体" w:cs="宋体"/>
          <w:b/>
          <w:bCs/>
          <w:color w:val="FF0000"/>
          <w:kern w:val="0"/>
          <w:sz w:val="20"/>
          <w:szCs w:val="20"/>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bookmarkStart w:id="1" w:name="RANGE!A42"/>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BF7"/>
    <w:rsid w:val="00010319"/>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83F93"/>
    <w:rsid w:val="001B15F0"/>
    <w:rsid w:val="001E64ED"/>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56AD1"/>
    <w:rsid w:val="00461C70"/>
    <w:rsid w:val="0048223B"/>
    <w:rsid w:val="00493829"/>
    <w:rsid w:val="004A0767"/>
    <w:rsid w:val="004A3F36"/>
    <w:rsid w:val="004B2AB2"/>
    <w:rsid w:val="004D1947"/>
    <w:rsid w:val="004E4E03"/>
    <w:rsid w:val="00505527"/>
    <w:rsid w:val="00512E43"/>
    <w:rsid w:val="005209B5"/>
    <w:rsid w:val="005361D9"/>
    <w:rsid w:val="00553E8B"/>
    <w:rsid w:val="00575C04"/>
    <w:rsid w:val="00582BD6"/>
    <w:rsid w:val="005A4D44"/>
    <w:rsid w:val="005A5F80"/>
    <w:rsid w:val="005A6410"/>
    <w:rsid w:val="005E569B"/>
    <w:rsid w:val="005E5CC3"/>
    <w:rsid w:val="005F0263"/>
    <w:rsid w:val="00607A01"/>
    <w:rsid w:val="00611779"/>
    <w:rsid w:val="0061330D"/>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0374C"/>
    <w:rsid w:val="00A1247B"/>
    <w:rsid w:val="00A15A8D"/>
    <w:rsid w:val="00A37CBD"/>
    <w:rsid w:val="00A4367E"/>
    <w:rsid w:val="00A54250"/>
    <w:rsid w:val="00A557E9"/>
    <w:rsid w:val="00A75594"/>
    <w:rsid w:val="00AA2234"/>
    <w:rsid w:val="00AC1ADA"/>
    <w:rsid w:val="00B03B9A"/>
    <w:rsid w:val="00B2599F"/>
    <w:rsid w:val="00B67268"/>
    <w:rsid w:val="00B76FED"/>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551"/>
    <w:rsid w:val="00E839AF"/>
    <w:rsid w:val="00E87099"/>
    <w:rsid w:val="00EB1C34"/>
    <w:rsid w:val="00EB200D"/>
    <w:rsid w:val="00EC1B56"/>
    <w:rsid w:val="00EC2EDB"/>
    <w:rsid w:val="00EC448C"/>
    <w:rsid w:val="00F1034D"/>
    <w:rsid w:val="00F20234"/>
    <w:rsid w:val="00F25100"/>
    <w:rsid w:val="00F44ACE"/>
    <w:rsid w:val="00F55BF4"/>
    <w:rsid w:val="00F64352"/>
    <w:rsid w:val="00F81E7A"/>
    <w:rsid w:val="00F85E1B"/>
    <w:rsid w:val="00F9338A"/>
    <w:rsid w:val="00FA1ACB"/>
    <w:rsid w:val="00FA433A"/>
    <w:rsid w:val="00FC2D69"/>
    <w:rsid w:val="00FF3A97"/>
    <w:rsid w:val="00FF7CCF"/>
    <w:rsid w:val="05A33A7C"/>
    <w:rsid w:val="07B47785"/>
    <w:rsid w:val="086A7661"/>
    <w:rsid w:val="0BB27ECE"/>
    <w:rsid w:val="111454CC"/>
    <w:rsid w:val="11532E91"/>
    <w:rsid w:val="11BF695B"/>
    <w:rsid w:val="15D408DC"/>
    <w:rsid w:val="17FC50C6"/>
    <w:rsid w:val="23D42313"/>
    <w:rsid w:val="24FD1647"/>
    <w:rsid w:val="298239F7"/>
    <w:rsid w:val="2B9E44AF"/>
    <w:rsid w:val="2EB20720"/>
    <w:rsid w:val="2F53767E"/>
    <w:rsid w:val="3034775C"/>
    <w:rsid w:val="3199580A"/>
    <w:rsid w:val="33B17B71"/>
    <w:rsid w:val="39754901"/>
    <w:rsid w:val="40BB5E41"/>
    <w:rsid w:val="40ED6FC6"/>
    <w:rsid w:val="40F878D4"/>
    <w:rsid w:val="41674637"/>
    <w:rsid w:val="41C16A06"/>
    <w:rsid w:val="41FC2CE3"/>
    <w:rsid w:val="42330824"/>
    <w:rsid w:val="44EA674E"/>
    <w:rsid w:val="48324E1C"/>
    <w:rsid w:val="4850479F"/>
    <w:rsid w:val="4C814CB3"/>
    <w:rsid w:val="4E3253B2"/>
    <w:rsid w:val="502A2CBA"/>
    <w:rsid w:val="50D53C5E"/>
    <w:rsid w:val="56E959AA"/>
    <w:rsid w:val="5E426908"/>
    <w:rsid w:val="60495CEA"/>
    <w:rsid w:val="653D6431"/>
    <w:rsid w:val="673C1D9C"/>
    <w:rsid w:val="69E7646F"/>
    <w:rsid w:val="6C9F28D0"/>
    <w:rsid w:val="6D5C26AD"/>
    <w:rsid w:val="6E6E333D"/>
    <w:rsid w:val="714D7D20"/>
    <w:rsid w:val="740B2994"/>
    <w:rsid w:val="751304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 w:type="character" w:customStyle="1" w:styleId="11">
    <w:name w:val="font31"/>
    <w:basedOn w:val="7"/>
    <w:uiPriority w:val="0"/>
    <w:rPr>
      <w:rFonts w:hint="eastAsia" w:ascii="宋体" w:hAnsi="宋体" w:eastAsia="宋体" w:cs="宋体"/>
      <w:color w:val="000000"/>
      <w:sz w:val="20"/>
      <w:szCs w:val="20"/>
      <w:u w:val="none"/>
    </w:rPr>
  </w:style>
  <w:style w:type="character" w:customStyle="1" w:styleId="12">
    <w:name w:val="font01"/>
    <w:basedOn w:val="7"/>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C2CD9-FEAB-47B1-A5A1-2AA899A1AFC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387</Words>
  <Characters>2210</Characters>
  <Lines>18</Lines>
  <Paragraphs>5</Paragraphs>
  <TotalTime>3</TotalTime>
  <ScaleCrop>false</ScaleCrop>
  <LinksUpToDate>false</LinksUpToDate>
  <CharactersWithSpaces>2592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  足迹</cp:lastModifiedBy>
  <dcterms:modified xsi:type="dcterms:W3CDTF">2021-12-08T06:09:56Z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EC7FA1BD237B4C32BA204CA897EAA7FC</vt:lpwstr>
  </property>
</Properties>
</file>