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807" w:firstLineChars="500"/>
        <w:jc w:val="left"/>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汽车拆解油水分离器采购</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汽车拆解油水分离器</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汽车拆解油水分离器</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12</w:t>
      </w:r>
      <w:r>
        <w:rPr>
          <w:rFonts w:hint="eastAsia" w:ascii="宋体" w:hAnsi="宋体" w:cs="Arial"/>
          <w:sz w:val="24"/>
          <w:szCs w:val="24"/>
        </w:rPr>
        <w:t>月</w:t>
      </w:r>
      <w:r>
        <w:rPr>
          <w:rFonts w:hint="eastAsia" w:ascii="宋体" w:hAnsi="宋体" w:cs="Arial"/>
          <w:sz w:val="24"/>
          <w:szCs w:val="24"/>
          <w:lang w:val="en-US" w:eastAsia="zh-CN"/>
        </w:rPr>
        <w:t>09</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答疑联系人：姜部长（手机18563816007）</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bookmarkStart w:id="2" w:name="_GoBack"/>
      <w:bookmarkEnd w:id="2"/>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30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汽车拆解油水分离器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jc w:val="left"/>
        <w:rPr>
          <w:rFonts w:hint="eastAsia" w:ascii="宋体" w:hAnsi="宋体" w:eastAsia="宋体" w:cs="宋体"/>
          <w:b/>
          <w:bCs/>
          <w:color w:val="FF0000"/>
          <w:kern w:val="0"/>
          <w:sz w:val="28"/>
          <w:szCs w:val="28"/>
          <w:lang w:val="en-US" w:eastAsia="zh-CN"/>
        </w:rPr>
      </w:pPr>
      <w:r>
        <w:rPr>
          <w:rFonts w:hint="eastAsia" w:ascii="宋体" w:hAnsi="宋体" w:eastAsia="宋体" w:cs="宋体"/>
          <w:b/>
          <w:bCs/>
          <w:color w:val="FF0000"/>
          <w:kern w:val="0"/>
          <w:sz w:val="28"/>
          <w:szCs w:val="28"/>
          <w:lang w:val="en-US" w:eastAsia="zh-CN"/>
        </w:rPr>
        <w:t>10、具体要求：</w:t>
      </w:r>
    </w:p>
    <w:p>
      <w:pPr>
        <w:numPr>
          <w:ilvl w:val="0"/>
          <w:numId w:val="0"/>
        </w:numPr>
        <w:jc w:val="left"/>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进水水源：汽车拆解厂地表收集含油雨水</w:t>
      </w:r>
    </w:p>
    <w:p>
      <w:pPr>
        <w:numPr>
          <w:ilvl w:val="0"/>
          <w:numId w:val="0"/>
        </w:numPr>
        <w:jc w:val="left"/>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产水目的：达标排放</w:t>
      </w:r>
    </w:p>
    <w:p>
      <w:pPr>
        <w:numPr>
          <w:ilvl w:val="0"/>
          <w:numId w:val="0"/>
        </w:numPr>
        <w:jc w:val="left"/>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产水水质：</w:t>
      </w:r>
    </w:p>
    <w:tbl>
      <w:tblPr>
        <w:tblStyle w:val="6"/>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804"/>
        <w:gridCol w:w="1248"/>
        <w:gridCol w:w="1200"/>
        <w:gridCol w:w="1152"/>
        <w:gridCol w:w="126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监测项目</w:t>
            </w:r>
          </w:p>
        </w:tc>
        <w:tc>
          <w:tcPr>
            <w:tcW w:w="804"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PH</w:t>
            </w:r>
          </w:p>
        </w:tc>
        <w:tc>
          <w:tcPr>
            <w:tcW w:w="1248" w:type="dxa"/>
          </w:tcPr>
          <w:p>
            <w:pPr>
              <w:numPr>
                <w:ilvl w:val="0"/>
                <w:numId w:val="0"/>
              </w:numPr>
              <w:ind w:leftChars="100"/>
              <w:jc w:val="left"/>
              <w:rPr>
                <w:rFonts w:hint="eastAsia"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COD</w:t>
            </w:r>
          </w:p>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(mg/L)</w:t>
            </w:r>
          </w:p>
        </w:tc>
        <w:tc>
          <w:tcPr>
            <w:tcW w:w="1200"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氨氮</w:t>
            </w:r>
          </w:p>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(mg/L)</w:t>
            </w:r>
          </w:p>
        </w:tc>
        <w:tc>
          <w:tcPr>
            <w:tcW w:w="1152"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TDS</w:t>
            </w:r>
          </w:p>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(mg/L)</w:t>
            </w:r>
          </w:p>
        </w:tc>
        <w:tc>
          <w:tcPr>
            <w:tcW w:w="1260"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石油类</w:t>
            </w:r>
          </w:p>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(mg/L)</w:t>
            </w:r>
          </w:p>
        </w:tc>
        <w:tc>
          <w:tcPr>
            <w:tcW w:w="1176"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SS</w:t>
            </w:r>
          </w:p>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汽车拆解废水</w:t>
            </w:r>
          </w:p>
        </w:tc>
        <w:tc>
          <w:tcPr>
            <w:tcW w:w="804"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6-9</w:t>
            </w:r>
          </w:p>
        </w:tc>
        <w:tc>
          <w:tcPr>
            <w:tcW w:w="1248"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2000</w:t>
            </w:r>
          </w:p>
        </w:tc>
        <w:tc>
          <w:tcPr>
            <w:tcW w:w="1200"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100</w:t>
            </w:r>
          </w:p>
        </w:tc>
        <w:tc>
          <w:tcPr>
            <w:tcW w:w="1152"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2000</w:t>
            </w:r>
          </w:p>
        </w:tc>
        <w:tc>
          <w:tcPr>
            <w:tcW w:w="1260"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15</w:t>
            </w:r>
          </w:p>
        </w:tc>
        <w:tc>
          <w:tcPr>
            <w:tcW w:w="1176" w:type="dxa"/>
          </w:tcPr>
          <w:p>
            <w:pPr>
              <w:numPr>
                <w:ilvl w:val="0"/>
                <w:numId w:val="0"/>
              </w:numPr>
              <w:ind w:leftChars="100"/>
              <w:jc w:val="left"/>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400</w:t>
            </w:r>
          </w:p>
        </w:tc>
      </w:tr>
    </w:tbl>
    <w:p>
      <w:pPr>
        <w:pStyle w:val="2"/>
        <w:numPr>
          <w:ilvl w:val="0"/>
          <w:numId w:val="0"/>
        </w:numPr>
        <w:outlineLvl w:val="0"/>
        <w:rPr>
          <w:rFonts w:hint="default" w:ascii="宋体" w:hAnsi="宋体" w:eastAsia="宋体" w:cs="宋体"/>
          <w:b/>
          <w:bCs/>
          <w:color w:val="FF0000"/>
          <w:sz w:val="28"/>
          <w:szCs w:val="28"/>
          <w:lang w:val="en-US" w:eastAsia="zh-CN"/>
        </w:rPr>
      </w:pPr>
      <w:bookmarkStart w:id="0" w:name="_Toc18856"/>
      <w:r>
        <w:rPr>
          <w:rFonts w:hint="eastAsia" w:ascii="宋体" w:hAnsi="宋体" w:eastAsia="宋体" w:cs="宋体"/>
          <w:b/>
          <w:bCs/>
          <w:color w:val="FF0000"/>
          <w:sz w:val="28"/>
          <w:szCs w:val="28"/>
          <w:lang w:val="en-US" w:eastAsia="zh-CN"/>
        </w:rPr>
        <w:t>11、系统说明</w:t>
      </w:r>
      <w:bookmarkEnd w:id="0"/>
    </w:p>
    <w:p>
      <w:pPr>
        <w:pStyle w:val="2"/>
        <w:numPr>
          <w:ilvl w:val="0"/>
          <w:numId w:val="0"/>
        </w:numPr>
        <w:ind w:leftChars="100"/>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1.系统可以实现自动和手动切换，手动强制。</w:t>
      </w:r>
    </w:p>
    <w:p>
      <w:pPr>
        <w:pStyle w:val="2"/>
        <w:numPr>
          <w:ilvl w:val="0"/>
          <w:numId w:val="0"/>
        </w:numPr>
        <w:ind w:leftChars="100"/>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2.系统是最基本、最简单的物理过滤，如果污水含油量太多，系统负荷太高，则需要增加隔油池等预处理单元。</w:t>
      </w:r>
    </w:p>
    <w:p>
      <w:pPr>
        <w:pStyle w:val="2"/>
        <w:numPr>
          <w:ilvl w:val="0"/>
          <w:numId w:val="0"/>
        </w:numPr>
        <w:ind w:leftChars="100"/>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3.系统配电需10KW左右。</w:t>
      </w:r>
    </w:p>
    <w:p>
      <w:pPr>
        <w:jc w:val="both"/>
        <w:rPr>
          <w:rFonts w:hint="eastAsia" w:ascii="宋体" w:hAnsi="宋体" w:eastAsia="宋体" w:cs="宋体"/>
          <w:b/>
          <w:bCs/>
          <w:color w:val="FF0000"/>
          <w:sz w:val="28"/>
          <w:szCs w:val="28"/>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汽车拆解油水分离器</w:t>
      </w:r>
    </w:p>
    <w:p>
      <w:pPr>
        <w:widowControl/>
        <w:shd w:val="clear" w:color="auto" w:fill="FFFFFF"/>
        <w:spacing w:after="120" w:line="362" w:lineRule="atLeast"/>
        <w:ind w:firstLine="2891" w:firstLineChars="900"/>
        <w:jc w:val="left"/>
        <w:rPr>
          <w:rFonts w:ascii="宋体" w:hAnsi="宋体" w:cs="Arial"/>
          <w:b/>
          <w:sz w:val="24"/>
          <w:szCs w:val="24"/>
        </w:rPr>
      </w:pPr>
      <w:r>
        <w:rPr>
          <w:rFonts w:hint="eastAsia" w:ascii="宋体" w:hAnsi="宋体" w:cs="宋体"/>
          <w:b/>
          <w:bCs/>
          <w:color w:val="000000"/>
          <w:kern w:val="0"/>
          <w:sz w:val="32"/>
          <w:szCs w:val="32"/>
        </w:rPr>
        <w:t>开标一览表</w:t>
      </w:r>
    </w:p>
    <w:tbl>
      <w:tblPr>
        <w:tblStyle w:val="5"/>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2599"/>
        <w:gridCol w:w="762"/>
        <w:gridCol w:w="775"/>
        <w:gridCol w:w="111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总报价</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名称</w:t>
            </w:r>
          </w:p>
        </w:tc>
        <w:tc>
          <w:tcPr>
            <w:tcW w:w="2599"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val="en-US" w:eastAsia="zh-CN"/>
              </w:rPr>
              <w:t>规格型号</w:t>
            </w:r>
          </w:p>
        </w:tc>
        <w:tc>
          <w:tcPr>
            <w:tcW w:w="762"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单位</w:t>
            </w:r>
          </w:p>
        </w:tc>
        <w:tc>
          <w:tcPr>
            <w:tcW w:w="775"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数量</w:t>
            </w:r>
          </w:p>
        </w:tc>
        <w:tc>
          <w:tcPr>
            <w:tcW w:w="1113"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单价RMB</w:t>
            </w:r>
          </w:p>
        </w:tc>
        <w:tc>
          <w:tcPr>
            <w:tcW w:w="2162"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numPr>
                <w:ilvl w:val="0"/>
                <w:numId w:val="0"/>
              </w:numPr>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增压泵</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流量5m/h</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扬程30m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220V</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材质铸铁</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篮式过滤器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直径500mm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高度1200mm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滤元精度150微米</w:t>
            </w:r>
          </w:p>
          <w:p>
            <w:pPr>
              <w:numPr>
                <w:ilvl w:val="0"/>
                <w:numId w:val="0"/>
              </w:numPr>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配观察孔</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油水分离器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直径600mm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高度1800mm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numPr>
                <w:ilvl w:val="0"/>
                <w:numId w:val="0"/>
              </w:numPr>
              <w:ind w:left="0" w:leftChars="0" w:firstLine="0" w:firstLineChars="0"/>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含聚集分离滤芯</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kern w:val="2"/>
                <w:sz w:val="24"/>
                <w:szCs w:val="24"/>
                <w:vertAlign w:val="baseline"/>
                <w:lang w:val="en-US" w:eastAsia="zh-CN" w:bidi="ar-SA"/>
              </w:rPr>
              <w:t>配观察孔</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除油过滤器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直径600mm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高度1800mm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kern w:val="2"/>
                <w:sz w:val="24"/>
                <w:szCs w:val="24"/>
                <w:vertAlign w:val="baseline"/>
                <w:lang w:val="en-US" w:eastAsia="zh-CN" w:bidi="ar-SA"/>
              </w:rPr>
              <w:t>含除油滤芯</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机架</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L2000*W1200*H2000</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材质SUS201</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架</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电控柜</w:t>
            </w:r>
          </w:p>
        </w:tc>
        <w:tc>
          <w:tcPr>
            <w:tcW w:w="2599"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继电器控制、配液位浮球</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套</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配套管道阀门</w:t>
            </w:r>
          </w:p>
        </w:tc>
        <w:tc>
          <w:tcPr>
            <w:tcW w:w="2599"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SUS304</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批</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调试费</w:t>
            </w: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top"/>
          </w:tcPr>
          <w:p>
            <w:pPr>
              <w:numPr>
                <w:ilvl w:val="0"/>
                <w:numId w:val="0"/>
              </w:numPr>
              <w:ind w:left="0" w:leftChars="0" w:firstLine="0" w:firstLineChars="0"/>
              <w:jc w:val="center"/>
              <w:rPr>
                <w:rFonts w:hint="default" w:ascii="宋体" w:hAnsi="宋体" w:eastAsia="宋体" w:cs="宋体"/>
                <w:b/>
                <w:bCs/>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保温</w:t>
            </w: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电加热及保温</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套</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3</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售后情况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1、此报价包含13%税点，如其他情况注明。</w:t>
            </w:r>
          </w:p>
          <w:p>
            <w:pPr>
              <w:widowControl/>
              <w:shd w:val="clear" w:color="auto" w:fill="FFFFFF"/>
              <w:spacing w:after="120" w:line="362" w:lineRule="atLeast"/>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bCs/>
                <w:color w:val="FF0000"/>
                <w:kern w:val="0"/>
                <w:sz w:val="24"/>
                <w:szCs w:val="24"/>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3、此报价包含</w:t>
            </w:r>
            <w:r>
              <w:rPr>
                <w:rFonts w:cs="宋体" w:asciiTheme="majorEastAsia" w:hAnsiTheme="majorEastAsia" w:eastAsiaTheme="majorEastAsia"/>
                <w:color w:val="FF0000"/>
                <w:kern w:val="0"/>
                <w:sz w:val="24"/>
                <w:szCs w:val="24"/>
              </w:rPr>
              <w:t>1</w:t>
            </w:r>
            <w:r>
              <w:rPr>
                <w:rFonts w:hint="eastAsia" w:cs="宋体" w:asciiTheme="majorEastAsia" w:hAnsiTheme="majorEastAsia" w:eastAsiaTheme="majorEastAsia"/>
                <w:color w:val="FF0000"/>
                <w:kern w:val="0"/>
                <w:sz w:val="24"/>
                <w:szCs w:val="24"/>
              </w:rPr>
              <w:t>3</w:t>
            </w:r>
            <w:r>
              <w:rPr>
                <w:rFonts w:cs="宋体" w:asciiTheme="majorEastAsia" w:hAnsiTheme="majorEastAsia" w:eastAsiaTheme="majorEastAsia"/>
                <w:color w:val="FF0000"/>
                <w:kern w:val="0"/>
                <w:sz w:val="24"/>
                <w:szCs w:val="24"/>
              </w:rPr>
              <w:t>%</w:t>
            </w:r>
            <w:r>
              <w:rPr>
                <w:rFonts w:hint="eastAsia" w:cs="宋体" w:asciiTheme="majorEastAsia" w:hAnsiTheme="majorEastAsia" w:eastAsiaTheme="majorEastAsia"/>
                <w:color w:val="FF0000"/>
                <w:kern w:val="0"/>
                <w:sz w:val="24"/>
                <w:szCs w:val="24"/>
              </w:rPr>
              <w:t>增值税发票和运费等。</w:t>
            </w:r>
          </w:p>
          <w:p>
            <w:pPr>
              <w:widowControl/>
              <w:shd w:val="clear" w:color="auto" w:fill="FFFFFF"/>
              <w:spacing w:after="120" w:line="362" w:lineRule="atLeast"/>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4、</w:t>
            </w:r>
            <w:r>
              <w:rPr>
                <w:rFonts w:hint="eastAsia" w:cs="宋体" w:asciiTheme="majorEastAsia" w:hAnsiTheme="majorEastAsia" w:eastAsiaTheme="majorEastAsia"/>
                <w:color w:val="FF0000"/>
                <w:kern w:val="0"/>
                <w:sz w:val="24"/>
                <w:szCs w:val="24"/>
                <w:lang w:val="en-US" w:eastAsia="zh-CN"/>
              </w:rPr>
              <w:t>安装周期30</w:t>
            </w:r>
            <w:r>
              <w:rPr>
                <w:rFonts w:hint="eastAsia" w:cs="宋体" w:asciiTheme="majorEastAsia" w:hAnsiTheme="majorEastAsia" w:eastAsiaTheme="majorEastAsia"/>
                <w:color w:val="FF0000"/>
                <w:kern w:val="0"/>
                <w:sz w:val="24"/>
                <w:szCs w:val="24"/>
              </w:rPr>
              <w:t>天，如不能响应，请注明。</w:t>
            </w:r>
          </w:p>
          <w:p>
            <w:pPr>
              <w:widowControl/>
              <w:shd w:val="clear" w:color="auto" w:fill="FFFFFF"/>
              <w:spacing w:after="120" w:line="362" w:lineRule="atLeast"/>
              <w:rPr>
                <w:rFonts w:hint="eastAsia" w:cs="宋体" w:asciiTheme="minorEastAsia" w:hAnsiTheme="minorEastAsia"/>
                <w:b/>
                <w:color w:val="FF0000"/>
                <w:kern w:val="0"/>
                <w:sz w:val="24"/>
                <w:szCs w:val="24"/>
                <w:lang w:val="en-US" w:eastAsia="zh-CN"/>
              </w:rPr>
            </w:pPr>
            <w:r>
              <w:rPr>
                <w:rFonts w:hint="eastAsia" w:cs="宋体" w:asciiTheme="majorEastAsia" w:hAnsiTheme="majorEastAsia" w:eastAsiaTheme="majorEastAsia"/>
                <w:color w:val="FF0000"/>
                <w:kern w:val="0"/>
                <w:sz w:val="24"/>
                <w:szCs w:val="24"/>
              </w:rPr>
              <w:t>5、请随标书提供营业执照</w:t>
            </w:r>
          </w:p>
        </w:tc>
      </w:tr>
    </w:tbl>
    <w:p>
      <w:pPr>
        <w:rPr>
          <w:sz w:val="24"/>
          <w:szCs w:val="24"/>
        </w:rPr>
      </w:pPr>
    </w:p>
    <w:p>
      <w:pPr>
        <w:widowControl/>
        <w:shd w:val="clear" w:color="auto" w:fill="FFFFFF"/>
        <w:spacing w:after="120" w:line="362" w:lineRule="atLeast"/>
        <w:rPr>
          <w:rFonts w:ascii="宋体" w:hAnsi="宋体" w:cs="宋体"/>
          <w:b/>
          <w:bCs/>
          <w:color w:val="FF0000"/>
          <w:kern w:val="0"/>
          <w:sz w:val="20"/>
          <w:szCs w:val="20"/>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1" w:name="RANGE!A42"/>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111454CC"/>
    <w:rsid w:val="11532E91"/>
    <w:rsid w:val="11BF695B"/>
    <w:rsid w:val="15D408DC"/>
    <w:rsid w:val="17FC50C6"/>
    <w:rsid w:val="23D42313"/>
    <w:rsid w:val="24FD1647"/>
    <w:rsid w:val="298239F7"/>
    <w:rsid w:val="2B9E44AF"/>
    <w:rsid w:val="2EB20720"/>
    <w:rsid w:val="2F53767E"/>
    <w:rsid w:val="3034775C"/>
    <w:rsid w:val="3199580A"/>
    <w:rsid w:val="33B17B71"/>
    <w:rsid w:val="39754901"/>
    <w:rsid w:val="40BB5E41"/>
    <w:rsid w:val="40ED6FC6"/>
    <w:rsid w:val="40F878D4"/>
    <w:rsid w:val="41674637"/>
    <w:rsid w:val="41C16A06"/>
    <w:rsid w:val="41FC2CE3"/>
    <w:rsid w:val="42330824"/>
    <w:rsid w:val="44EA674E"/>
    <w:rsid w:val="48324E1C"/>
    <w:rsid w:val="4850479F"/>
    <w:rsid w:val="4C814CB3"/>
    <w:rsid w:val="4E3253B2"/>
    <w:rsid w:val="502A2CBA"/>
    <w:rsid w:val="50D53C5E"/>
    <w:rsid w:val="56E959AA"/>
    <w:rsid w:val="5E426908"/>
    <w:rsid w:val="60495CEA"/>
    <w:rsid w:val="653D6431"/>
    <w:rsid w:val="673C1D9C"/>
    <w:rsid w:val="69E7646F"/>
    <w:rsid w:val="6C9F28D0"/>
    <w:rsid w:val="6D5C26AD"/>
    <w:rsid w:val="6E6E333D"/>
    <w:rsid w:val="714D7D20"/>
    <w:rsid w:val="740B2994"/>
    <w:rsid w:val="75130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31"/>
    <w:basedOn w:val="7"/>
    <w:uiPriority w:val="0"/>
    <w:rPr>
      <w:rFonts w:hint="eastAsia" w:ascii="宋体" w:hAnsi="宋体" w:eastAsia="宋体" w:cs="宋体"/>
      <w:color w:val="000000"/>
      <w:sz w:val="20"/>
      <w:szCs w:val="20"/>
      <w:u w:val="none"/>
    </w:rPr>
  </w:style>
  <w:style w:type="character" w:customStyle="1" w:styleId="12">
    <w:name w:val="font01"/>
    <w:basedOn w:val="7"/>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387</Words>
  <Characters>2210</Characters>
  <Lines>18</Lines>
  <Paragraphs>5</Paragraphs>
  <TotalTime>3</TotalTime>
  <ScaleCrop>false</ScaleCrop>
  <LinksUpToDate>false</LinksUpToDate>
  <CharactersWithSpaces>2592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2021-12-08T06:09:56Z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EC7FA1BD237B4C32BA204CA897EAA7FC</vt:lpwstr>
  </property>
</Properties>
</file>